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9B" w:rsidRPr="000B14DE" w:rsidRDefault="00F2379B" w:rsidP="00983F82">
      <w:pPr>
        <w:spacing w:line="480" w:lineRule="auto"/>
        <w:jc w:val="both"/>
        <w:rPr>
          <w:rFonts w:ascii="Garamond" w:hAnsi="Garamond"/>
          <w:b/>
          <w:color w:val="auto"/>
          <w:sz w:val="28"/>
          <w:szCs w:val="28"/>
        </w:rPr>
      </w:pPr>
    </w:p>
    <w:p w:rsidR="00F2379B" w:rsidRPr="000B14DE" w:rsidRDefault="00F2379B" w:rsidP="00983F82">
      <w:pPr>
        <w:spacing w:line="480" w:lineRule="auto"/>
        <w:jc w:val="both"/>
        <w:rPr>
          <w:rFonts w:ascii="Garamond" w:hAnsi="Garamond"/>
          <w:b/>
          <w:color w:val="auto"/>
          <w:sz w:val="28"/>
          <w:szCs w:val="28"/>
        </w:rPr>
      </w:pPr>
    </w:p>
    <w:p w:rsidR="00285E62" w:rsidRPr="000B14DE" w:rsidRDefault="00285E62" w:rsidP="00983F82">
      <w:pPr>
        <w:spacing w:line="480" w:lineRule="auto"/>
        <w:jc w:val="both"/>
        <w:rPr>
          <w:rFonts w:ascii="Garamond" w:hAnsi="Garamond"/>
          <w:b/>
          <w:color w:val="auto"/>
          <w:sz w:val="28"/>
          <w:szCs w:val="28"/>
        </w:rPr>
      </w:pPr>
    </w:p>
    <w:p w:rsidR="00285E62" w:rsidRPr="000B14DE" w:rsidRDefault="00285E62" w:rsidP="00983F82">
      <w:pPr>
        <w:spacing w:line="480" w:lineRule="auto"/>
        <w:jc w:val="both"/>
        <w:rPr>
          <w:rFonts w:ascii="Garamond" w:hAnsi="Garamond"/>
          <w:b/>
          <w:color w:val="auto"/>
          <w:sz w:val="28"/>
          <w:szCs w:val="28"/>
        </w:rPr>
      </w:pPr>
    </w:p>
    <w:p w:rsidR="00285E62" w:rsidRPr="000B14DE" w:rsidRDefault="00285E62" w:rsidP="00983F82">
      <w:pPr>
        <w:spacing w:line="480" w:lineRule="auto"/>
        <w:jc w:val="both"/>
        <w:rPr>
          <w:rFonts w:ascii="Garamond" w:hAnsi="Garamond"/>
          <w:b/>
          <w:color w:val="auto"/>
          <w:sz w:val="28"/>
          <w:szCs w:val="28"/>
        </w:rPr>
      </w:pPr>
    </w:p>
    <w:p w:rsidR="00F2379B" w:rsidRPr="000B14DE" w:rsidRDefault="00F2379B" w:rsidP="00983F82">
      <w:pPr>
        <w:spacing w:line="480" w:lineRule="auto"/>
        <w:jc w:val="both"/>
        <w:rPr>
          <w:rFonts w:ascii="Garamond" w:hAnsi="Garamond"/>
          <w:b/>
          <w:color w:val="auto"/>
          <w:sz w:val="28"/>
          <w:szCs w:val="28"/>
        </w:rPr>
      </w:pPr>
    </w:p>
    <w:p w:rsidR="00F2379B" w:rsidRPr="000B14DE" w:rsidRDefault="00F2379B" w:rsidP="00285E62">
      <w:pPr>
        <w:spacing w:line="480" w:lineRule="auto"/>
        <w:jc w:val="center"/>
        <w:rPr>
          <w:rFonts w:ascii="Garamond" w:hAnsi="Garamond"/>
          <w:b/>
          <w:color w:val="auto"/>
          <w:sz w:val="48"/>
          <w:szCs w:val="48"/>
        </w:rPr>
      </w:pPr>
      <w:r w:rsidRPr="000B14DE">
        <w:rPr>
          <w:rFonts w:ascii="Garamond" w:hAnsi="Garamond"/>
          <w:b/>
          <w:color w:val="auto"/>
          <w:sz w:val="48"/>
          <w:szCs w:val="48"/>
        </w:rPr>
        <w:t>Literature review o</w:t>
      </w:r>
      <w:r w:rsidR="00285E62" w:rsidRPr="000B14DE">
        <w:rPr>
          <w:rFonts w:ascii="Garamond" w:hAnsi="Garamond"/>
          <w:b/>
          <w:color w:val="auto"/>
          <w:sz w:val="48"/>
          <w:szCs w:val="48"/>
        </w:rPr>
        <w:t>n the epidemiology of tattooing and it</w:t>
      </w:r>
      <w:r w:rsidRPr="000B14DE">
        <w:rPr>
          <w:rFonts w:ascii="Garamond" w:hAnsi="Garamond"/>
          <w:b/>
          <w:color w:val="auto"/>
          <w:sz w:val="48"/>
          <w:szCs w:val="48"/>
        </w:rPr>
        <w:t>s complication</w:t>
      </w:r>
      <w:r w:rsidR="00E14588">
        <w:rPr>
          <w:rFonts w:ascii="Garamond" w:hAnsi="Garamond"/>
          <w:b/>
          <w:color w:val="auto"/>
          <w:sz w:val="48"/>
          <w:szCs w:val="48"/>
        </w:rPr>
        <w:t>s</w:t>
      </w:r>
    </w:p>
    <w:p w:rsidR="00F2379B" w:rsidRPr="000B14DE" w:rsidRDefault="000C64F0" w:rsidP="0086175B">
      <w:pPr>
        <w:spacing w:line="480" w:lineRule="auto"/>
        <w:jc w:val="center"/>
        <w:rPr>
          <w:rFonts w:ascii="Garamond" w:hAnsi="Garamond"/>
          <w:b/>
          <w:color w:val="auto"/>
          <w:sz w:val="28"/>
          <w:szCs w:val="28"/>
        </w:rPr>
      </w:pPr>
      <w:r>
        <w:rPr>
          <w:rFonts w:ascii="Garamond" w:hAnsi="Garamond"/>
          <w:b/>
          <w:color w:val="auto"/>
          <w:sz w:val="28"/>
          <w:szCs w:val="28"/>
        </w:rPr>
        <w:t>V0.7</w:t>
      </w:r>
    </w:p>
    <w:p w:rsidR="00252910" w:rsidRDefault="00252910" w:rsidP="00983F82">
      <w:pPr>
        <w:spacing w:line="480" w:lineRule="auto"/>
        <w:jc w:val="both"/>
        <w:rPr>
          <w:rFonts w:ascii="Garamond" w:hAnsi="Garamond"/>
          <w:b/>
          <w:color w:val="auto"/>
          <w:sz w:val="28"/>
          <w:szCs w:val="28"/>
        </w:rPr>
      </w:pPr>
    </w:p>
    <w:p w:rsidR="00F2379B" w:rsidRPr="00335306" w:rsidRDefault="00252910" w:rsidP="00252910">
      <w:pPr>
        <w:spacing w:line="480" w:lineRule="auto"/>
        <w:jc w:val="center"/>
        <w:rPr>
          <w:rFonts w:ascii="Garamond" w:hAnsi="Garamond"/>
          <w:b/>
          <w:i/>
          <w:color w:val="auto"/>
          <w:sz w:val="28"/>
          <w:szCs w:val="28"/>
        </w:rPr>
      </w:pPr>
      <w:r w:rsidRPr="00335306">
        <w:rPr>
          <w:rFonts w:ascii="Garamond" w:hAnsi="Garamond"/>
          <w:b/>
          <w:i/>
          <w:color w:val="auto"/>
          <w:sz w:val="28"/>
          <w:szCs w:val="28"/>
        </w:rPr>
        <w:t>Dr Victor Aiyedun</w:t>
      </w:r>
    </w:p>
    <w:p w:rsidR="00252910" w:rsidRPr="00335306" w:rsidRDefault="00252910" w:rsidP="00252910">
      <w:pPr>
        <w:spacing w:line="480" w:lineRule="auto"/>
        <w:jc w:val="center"/>
        <w:rPr>
          <w:rFonts w:ascii="Garamond" w:hAnsi="Garamond"/>
          <w:b/>
          <w:i/>
          <w:color w:val="auto"/>
          <w:sz w:val="28"/>
          <w:szCs w:val="28"/>
        </w:rPr>
      </w:pPr>
      <w:r w:rsidRPr="00335306">
        <w:rPr>
          <w:rFonts w:ascii="Garamond" w:hAnsi="Garamond"/>
          <w:b/>
          <w:i/>
          <w:color w:val="auto"/>
          <w:sz w:val="28"/>
          <w:szCs w:val="28"/>
        </w:rPr>
        <w:t>Specialist Registrar,</w:t>
      </w:r>
    </w:p>
    <w:p w:rsidR="00252910" w:rsidRPr="00335306" w:rsidRDefault="00252910" w:rsidP="00252910">
      <w:pPr>
        <w:spacing w:line="480" w:lineRule="auto"/>
        <w:jc w:val="center"/>
        <w:rPr>
          <w:rFonts w:ascii="Garamond" w:hAnsi="Garamond"/>
          <w:b/>
          <w:i/>
          <w:color w:val="auto"/>
          <w:sz w:val="28"/>
          <w:szCs w:val="28"/>
        </w:rPr>
      </w:pPr>
      <w:r w:rsidRPr="00335306">
        <w:rPr>
          <w:rFonts w:ascii="Garamond" w:hAnsi="Garamond"/>
          <w:b/>
          <w:i/>
          <w:color w:val="auto"/>
          <w:sz w:val="28"/>
          <w:szCs w:val="28"/>
        </w:rPr>
        <w:t>Public Health Medicine</w:t>
      </w:r>
    </w:p>
    <w:p w:rsidR="00252910" w:rsidRPr="00335306" w:rsidRDefault="00252910" w:rsidP="00252910">
      <w:pPr>
        <w:spacing w:line="480" w:lineRule="auto"/>
        <w:jc w:val="center"/>
        <w:rPr>
          <w:rFonts w:ascii="Garamond" w:hAnsi="Garamond"/>
          <w:b/>
          <w:i/>
          <w:color w:val="auto"/>
          <w:sz w:val="28"/>
          <w:szCs w:val="28"/>
        </w:rPr>
      </w:pPr>
    </w:p>
    <w:p w:rsidR="00252910" w:rsidRPr="00335306" w:rsidRDefault="00252910" w:rsidP="00252910">
      <w:pPr>
        <w:spacing w:line="480" w:lineRule="auto"/>
        <w:jc w:val="center"/>
        <w:rPr>
          <w:rFonts w:ascii="Garamond" w:hAnsi="Garamond"/>
          <w:b/>
          <w:i/>
          <w:color w:val="auto"/>
          <w:sz w:val="28"/>
          <w:szCs w:val="28"/>
        </w:rPr>
      </w:pPr>
      <w:r w:rsidRPr="00335306">
        <w:rPr>
          <w:rFonts w:ascii="Garamond" w:hAnsi="Garamond"/>
          <w:b/>
          <w:i/>
          <w:color w:val="auto"/>
          <w:sz w:val="28"/>
          <w:szCs w:val="28"/>
        </w:rPr>
        <w:t>Supervised by</w:t>
      </w:r>
    </w:p>
    <w:p w:rsidR="00252910" w:rsidRPr="00335306" w:rsidRDefault="00252910" w:rsidP="00252910">
      <w:pPr>
        <w:spacing w:line="480" w:lineRule="auto"/>
        <w:jc w:val="center"/>
        <w:rPr>
          <w:rFonts w:ascii="Garamond" w:hAnsi="Garamond"/>
          <w:b/>
          <w:i/>
          <w:color w:val="auto"/>
          <w:sz w:val="28"/>
          <w:szCs w:val="28"/>
        </w:rPr>
      </w:pPr>
      <w:r w:rsidRPr="00335306">
        <w:rPr>
          <w:rFonts w:ascii="Garamond" w:hAnsi="Garamond"/>
          <w:b/>
          <w:i/>
          <w:color w:val="auto"/>
          <w:sz w:val="28"/>
          <w:szCs w:val="28"/>
        </w:rPr>
        <w:t>Dr Fortune Ncube</w:t>
      </w:r>
    </w:p>
    <w:p w:rsidR="00252910" w:rsidRPr="00335306" w:rsidRDefault="00252910" w:rsidP="00252910">
      <w:pPr>
        <w:spacing w:line="480" w:lineRule="auto"/>
        <w:jc w:val="center"/>
        <w:rPr>
          <w:rFonts w:ascii="Garamond" w:hAnsi="Garamond"/>
          <w:b/>
          <w:i/>
          <w:color w:val="auto"/>
          <w:sz w:val="28"/>
          <w:szCs w:val="28"/>
        </w:rPr>
      </w:pPr>
      <w:r w:rsidRPr="00335306">
        <w:rPr>
          <w:rFonts w:ascii="Garamond" w:hAnsi="Garamond"/>
          <w:b/>
          <w:i/>
          <w:color w:val="auto"/>
          <w:sz w:val="28"/>
          <w:szCs w:val="28"/>
        </w:rPr>
        <w:t>Consultant Epidemiologist,</w:t>
      </w:r>
    </w:p>
    <w:p w:rsidR="000F03D8" w:rsidRDefault="000F03D8" w:rsidP="00252910">
      <w:pPr>
        <w:spacing w:line="480" w:lineRule="auto"/>
        <w:jc w:val="center"/>
        <w:rPr>
          <w:rFonts w:ascii="Garamond" w:hAnsi="Garamond"/>
          <w:b/>
          <w:color w:val="auto"/>
          <w:sz w:val="28"/>
          <w:szCs w:val="28"/>
        </w:rPr>
      </w:pPr>
    </w:p>
    <w:p w:rsidR="00252910" w:rsidRPr="000B14DE" w:rsidRDefault="00252910" w:rsidP="00252910">
      <w:pPr>
        <w:spacing w:line="480" w:lineRule="auto"/>
        <w:jc w:val="center"/>
        <w:rPr>
          <w:rFonts w:ascii="Garamond" w:hAnsi="Garamond"/>
          <w:b/>
          <w:color w:val="auto"/>
          <w:sz w:val="28"/>
          <w:szCs w:val="28"/>
        </w:rPr>
      </w:pPr>
      <w:r>
        <w:rPr>
          <w:rFonts w:ascii="Garamond" w:hAnsi="Garamond"/>
          <w:b/>
          <w:color w:val="auto"/>
          <w:sz w:val="28"/>
          <w:szCs w:val="28"/>
        </w:rPr>
        <w:t>H</w:t>
      </w:r>
      <w:r w:rsidR="00335306">
        <w:rPr>
          <w:rFonts w:ascii="Garamond" w:hAnsi="Garamond"/>
          <w:b/>
          <w:color w:val="auto"/>
          <w:sz w:val="28"/>
          <w:szCs w:val="28"/>
        </w:rPr>
        <w:t xml:space="preserve">ealth </w:t>
      </w:r>
      <w:r>
        <w:rPr>
          <w:rFonts w:ascii="Garamond" w:hAnsi="Garamond"/>
          <w:b/>
          <w:color w:val="auto"/>
          <w:sz w:val="28"/>
          <w:szCs w:val="28"/>
        </w:rPr>
        <w:t>P</w:t>
      </w:r>
      <w:r w:rsidR="00335306">
        <w:rPr>
          <w:rFonts w:ascii="Garamond" w:hAnsi="Garamond"/>
          <w:b/>
          <w:color w:val="auto"/>
          <w:sz w:val="28"/>
          <w:szCs w:val="28"/>
        </w:rPr>
        <w:t xml:space="preserve">rotection </w:t>
      </w:r>
      <w:r>
        <w:rPr>
          <w:rFonts w:ascii="Garamond" w:hAnsi="Garamond"/>
          <w:b/>
          <w:color w:val="auto"/>
          <w:sz w:val="28"/>
          <w:szCs w:val="28"/>
        </w:rPr>
        <w:t>A</w:t>
      </w:r>
      <w:r w:rsidR="00335306">
        <w:rPr>
          <w:rFonts w:ascii="Garamond" w:hAnsi="Garamond"/>
          <w:b/>
          <w:color w:val="auto"/>
          <w:sz w:val="28"/>
          <w:szCs w:val="28"/>
        </w:rPr>
        <w:t>gency,</w:t>
      </w:r>
      <w:r>
        <w:rPr>
          <w:rFonts w:ascii="Garamond" w:hAnsi="Garamond"/>
          <w:b/>
          <w:color w:val="auto"/>
          <w:sz w:val="28"/>
          <w:szCs w:val="28"/>
        </w:rPr>
        <w:t xml:space="preserve"> Colindale</w:t>
      </w:r>
    </w:p>
    <w:p w:rsidR="00F2379B" w:rsidRPr="000B14DE" w:rsidRDefault="00F2379B" w:rsidP="00983F82">
      <w:pPr>
        <w:spacing w:line="480" w:lineRule="auto"/>
        <w:jc w:val="both"/>
        <w:rPr>
          <w:rFonts w:ascii="Garamond" w:hAnsi="Garamond"/>
          <w:b/>
          <w:color w:val="auto"/>
          <w:sz w:val="28"/>
          <w:szCs w:val="28"/>
        </w:rPr>
      </w:pPr>
    </w:p>
    <w:p w:rsidR="007D20B7" w:rsidRPr="007D20B7" w:rsidRDefault="007D20B7" w:rsidP="007D20B7"/>
    <w:p w:rsidR="007D20B7" w:rsidRPr="00596F2A" w:rsidRDefault="007D20B7" w:rsidP="00596F2A">
      <w:pPr>
        <w:pStyle w:val="TOCHeading"/>
        <w:jc w:val="center"/>
        <w:rPr>
          <w:rFonts w:ascii="Garamond" w:hAnsi="Garamond"/>
          <w:color w:val="auto"/>
          <w:sz w:val="24"/>
          <w:szCs w:val="24"/>
        </w:rPr>
      </w:pPr>
      <w:r w:rsidRPr="00596F2A">
        <w:rPr>
          <w:rFonts w:ascii="Garamond" w:hAnsi="Garamond"/>
          <w:color w:val="auto"/>
          <w:sz w:val="24"/>
          <w:szCs w:val="24"/>
        </w:rPr>
        <w:t>Table of Contents</w:t>
      </w:r>
    </w:p>
    <w:p w:rsidR="00726E41" w:rsidRPr="00596F2A" w:rsidRDefault="00726E41" w:rsidP="00726E41">
      <w:pPr>
        <w:rPr>
          <w:rFonts w:ascii="Garamond" w:hAnsi="Garamond"/>
          <w:lang w:val="en-US" w:eastAsia="en-US"/>
        </w:rPr>
      </w:pPr>
    </w:p>
    <w:p w:rsidR="00726E41" w:rsidRPr="00596F2A" w:rsidRDefault="00726E41" w:rsidP="00726E41">
      <w:pPr>
        <w:rPr>
          <w:rFonts w:ascii="Garamond" w:hAnsi="Garamond"/>
          <w:lang w:val="en-US" w:eastAsia="en-US"/>
        </w:rPr>
      </w:pPr>
    </w:p>
    <w:p w:rsidR="0086175B" w:rsidRPr="0086175B" w:rsidRDefault="000A7D09">
      <w:pPr>
        <w:pStyle w:val="TOC1"/>
        <w:tabs>
          <w:tab w:val="left" w:pos="480"/>
          <w:tab w:val="right" w:leader="dot" w:pos="9742"/>
        </w:tabs>
        <w:rPr>
          <w:rFonts w:ascii="Garamond" w:eastAsiaTheme="minorEastAsia" w:hAnsi="Garamond" w:cstheme="minorBidi"/>
          <w:noProof/>
          <w:color w:val="auto"/>
          <w:sz w:val="22"/>
          <w:szCs w:val="22"/>
        </w:rPr>
      </w:pPr>
      <w:r w:rsidRPr="00596F2A">
        <w:rPr>
          <w:rFonts w:ascii="Garamond" w:hAnsi="Garamond"/>
        </w:rPr>
        <w:fldChar w:fldCharType="begin"/>
      </w:r>
      <w:r w:rsidR="007D20B7" w:rsidRPr="00596F2A">
        <w:rPr>
          <w:rFonts w:ascii="Garamond" w:hAnsi="Garamond"/>
        </w:rPr>
        <w:instrText xml:space="preserve"> TOC \o "1-3" \h \z \u </w:instrText>
      </w:r>
      <w:r w:rsidRPr="00596F2A">
        <w:rPr>
          <w:rFonts w:ascii="Garamond" w:hAnsi="Garamond"/>
        </w:rPr>
        <w:fldChar w:fldCharType="separate"/>
      </w:r>
      <w:hyperlink w:anchor="_Toc325554572" w:history="1">
        <w:r w:rsidR="0086175B" w:rsidRPr="0086175B">
          <w:rPr>
            <w:rStyle w:val="Hyperlink"/>
            <w:rFonts w:ascii="Garamond" w:hAnsi="Garamond"/>
            <w:noProof/>
          </w:rPr>
          <w:t>1</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List of Abbreviations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_Toc325554572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3</w:t>
        </w:r>
        <w:r w:rsidRPr="0086175B">
          <w:rPr>
            <w:rFonts w:ascii="Garamond" w:hAnsi="Garamond"/>
            <w:noProof/>
            <w:webHidden/>
          </w:rPr>
          <w:fldChar w:fldCharType="end"/>
        </w:r>
      </w:hyperlink>
    </w:p>
    <w:p w:rsidR="0086175B" w:rsidRPr="0086175B" w:rsidRDefault="000A7D09">
      <w:pPr>
        <w:pStyle w:val="TOC1"/>
        <w:tabs>
          <w:tab w:val="left" w:pos="480"/>
          <w:tab w:val="right" w:leader="dot" w:pos="9742"/>
        </w:tabs>
        <w:rPr>
          <w:rFonts w:ascii="Garamond" w:eastAsiaTheme="minorEastAsia" w:hAnsi="Garamond" w:cstheme="minorBidi"/>
          <w:noProof/>
          <w:color w:val="auto"/>
          <w:sz w:val="22"/>
          <w:szCs w:val="22"/>
        </w:rPr>
      </w:pPr>
      <w:hyperlink w:anchor="_Toc325554573" w:history="1">
        <w:r w:rsidR="0086175B" w:rsidRPr="0086175B">
          <w:rPr>
            <w:rStyle w:val="Hyperlink"/>
            <w:rFonts w:ascii="Garamond" w:hAnsi="Garamond"/>
            <w:noProof/>
          </w:rPr>
          <w:t>2</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Background</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_Toc325554573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4</w:t>
        </w:r>
        <w:r w:rsidRPr="0086175B">
          <w:rPr>
            <w:rFonts w:ascii="Garamond" w:hAnsi="Garamond"/>
            <w:noProof/>
            <w:webHidden/>
          </w:rPr>
          <w:fldChar w:fldCharType="end"/>
        </w:r>
      </w:hyperlink>
    </w:p>
    <w:p w:rsidR="0086175B" w:rsidRPr="0086175B" w:rsidRDefault="000A7D09">
      <w:pPr>
        <w:pStyle w:val="TOC1"/>
        <w:tabs>
          <w:tab w:val="left" w:pos="480"/>
          <w:tab w:val="right" w:leader="dot" w:pos="9742"/>
        </w:tabs>
        <w:rPr>
          <w:rFonts w:ascii="Garamond" w:eastAsiaTheme="minorEastAsia" w:hAnsi="Garamond" w:cstheme="minorBidi"/>
          <w:noProof/>
          <w:color w:val="auto"/>
          <w:sz w:val="22"/>
          <w:szCs w:val="22"/>
        </w:rPr>
      </w:pPr>
      <w:hyperlink w:anchor="_Toc325554574" w:history="1">
        <w:r w:rsidR="0086175B" w:rsidRPr="0086175B">
          <w:rPr>
            <w:rStyle w:val="Hyperlink"/>
            <w:rFonts w:ascii="Garamond" w:hAnsi="Garamond"/>
            <w:noProof/>
          </w:rPr>
          <w:t>3</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Scope of the Literature review</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_Toc325554574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4</w:t>
        </w:r>
        <w:r w:rsidRPr="0086175B">
          <w:rPr>
            <w:rFonts w:ascii="Garamond" w:hAnsi="Garamond"/>
            <w:noProof/>
            <w:webHidden/>
          </w:rPr>
          <w:fldChar w:fldCharType="end"/>
        </w:r>
      </w:hyperlink>
    </w:p>
    <w:p w:rsidR="0086175B" w:rsidRPr="0086175B" w:rsidRDefault="000A7D09">
      <w:pPr>
        <w:pStyle w:val="TOC1"/>
        <w:tabs>
          <w:tab w:val="left" w:pos="480"/>
          <w:tab w:val="right" w:leader="dot" w:pos="9742"/>
        </w:tabs>
        <w:rPr>
          <w:rFonts w:ascii="Garamond" w:eastAsiaTheme="minorEastAsia" w:hAnsi="Garamond" w:cstheme="minorBidi"/>
          <w:noProof/>
          <w:color w:val="auto"/>
          <w:sz w:val="22"/>
          <w:szCs w:val="22"/>
        </w:rPr>
      </w:pPr>
      <w:hyperlink w:anchor="_Toc325554575" w:history="1">
        <w:r w:rsidR="0086175B" w:rsidRPr="0086175B">
          <w:rPr>
            <w:rStyle w:val="Hyperlink"/>
            <w:rFonts w:ascii="Garamond" w:hAnsi="Garamond"/>
            <w:noProof/>
          </w:rPr>
          <w:t>4</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Introduction</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_Toc325554575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5</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76" w:history="1">
        <w:r w:rsidR="0086175B" w:rsidRPr="0086175B">
          <w:rPr>
            <w:rStyle w:val="Hyperlink"/>
            <w:rFonts w:ascii="Garamond" w:hAnsi="Garamond"/>
            <w:noProof/>
          </w:rPr>
          <w:t>4.1</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Definition</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_Toc325554576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5</w:t>
        </w:r>
        <w:r w:rsidRPr="0086175B">
          <w:rPr>
            <w:rFonts w:ascii="Garamond" w:hAnsi="Garamond"/>
            <w:noProof/>
            <w:webHidden/>
          </w:rPr>
          <w:fldChar w:fldCharType="end"/>
        </w:r>
      </w:hyperlink>
    </w:p>
    <w:p w:rsidR="0086175B" w:rsidRPr="0086175B" w:rsidRDefault="000A7D09">
      <w:pPr>
        <w:pStyle w:val="TOC1"/>
        <w:tabs>
          <w:tab w:val="left" w:pos="480"/>
          <w:tab w:val="right" w:leader="dot" w:pos="9742"/>
        </w:tabs>
        <w:rPr>
          <w:rFonts w:ascii="Garamond" w:eastAsiaTheme="minorEastAsia" w:hAnsi="Garamond" w:cstheme="minorBidi"/>
          <w:noProof/>
          <w:color w:val="auto"/>
          <w:sz w:val="22"/>
          <w:szCs w:val="22"/>
        </w:rPr>
      </w:pPr>
      <w:hyperlink w:anchor="_Toc325554577" w:history="1">
        <w:r w:rsidR="0086175B" w:rsidRPr="0086175B">
          <w:rPr>
            <w:rStyle w:val="Hyperlink"/>
            <w:rFonts w:ascii="Garamond" w:hAnsi="Garamond"/>
            <w:noProof/>
          </w:rPr>
          <w:t>5</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Literature Review Method</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_Toc325554577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5</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78" w:history="1">
        <w:r w:rsidR="0086175B" w:rsidRPr="0086175B">
          <w:rPr>
            <w:rStyle w:val="Hyperlink"/>
            <w:rFonts w:ascii="Garamond" w:hAnsi="Garamond"/>
            <w:noProof/>
          </w:rPr>
          <w:t>5.1</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Objectives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_Toc325554578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5</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79" w:history="1">
        <w:r w:rsidR="0086175B" w:rsidRPr="0086175B">
          <w:rPr>
            <w:rStyle w:val="Hyperlink"/>
            <w:rFonts w:ascii="Garamond" w:hAnsi="Garamond"/>
            <w:noProof/>
          </w:rPr>
          <w:t>5.2</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Search Strategy</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_Toc325554579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5</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80" w:history="1">
        <w:r w:rsidR="0086175B" w:rsidRPr="0086175B">
          <w:rPr>
            <w:rStyle w:val="Hyperlink"/>
            <w:rFonts w:ascii="Garamond" w:hAnsi="Garamond"/>
            <w:noProof/>
          </w:rPr>
          <w:t>5.3</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Inclusion and exclusion criteria</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_Toc325554580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5</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81" w:history="1">
        <w:r w:rsidR="0086175B" w:rsidRPr="0086175B">
          <w:rPr>
            <w:rStyle w:val="Hyperlink"/>
            <w:rFonts w:ascii="Garamond" w:hAnsi="Garamond"/>
            <w:noProof/>
          </w:rPr>
          <w:t>5.4</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Appraisal</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_Toc325554581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6</w:t>
        </w:r>
        <w:r w:rsidRPr="0086175B">
          <w:rPr>
            <w:rFonts w:ascii="Garamond" w:hAnsi="Garamond"/>
            <w:noProof/>
            <w:webHidden/>
          </w:rPr>
          <w:fldChar w:fldCharType="end"/>
        </w:r>
      </w:hyperlink>
    </w:p>
    <w:p w:rsidR="0086175B" w:rsidRPr="0086175B" w:rsidRDefault="000A7D09">
      <w:pPr>
        <w:pStyle w:val="TOC1"/>
        <w:tabs>
          <w:tab w:val="left" w:pos="480"/>
          <w:tab w:val="right" w:leader="dot" w:pos="9742"/>
        </w:tabs>
        <w:rPr>
          <w:rFonts w:ascii="Garamond" w:eastAsiaTheme="minorEastAsia" w:hAnsi="Garamond" w:cstheme="minorBidi"/>
          <w:noProof/>
          <w:color w:val="auto"/>
          <w:sz w:val="22"/>
          <w:szCs w:val="22"/>
        </w:rPr>
      </w:pPr>
      <w:hyperlink w:anchor="_Toc325554582" w:history="1">
        <w:r w:rsidR="0086175B" w:rsidRPr="0086175B">
          <w:rPr>
            <w:rStyle w:val="Hyperlink"/>
            <w:rFonts w:ascii="Garamond" w:hAnsi="Garamond"/>
            <w:noProof/>
          </w:rPr>
          <w:t>6</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Results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_Toc325554582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7</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83" w:history="1">
        <w:r w:rsidR="0086175B" w:rsidRPr="0086175B">
          <w:rPr>
            <w:rStyle w:val="Hyperlink"/>
            <w:rFonts w:ascii="Garamond" w:hAnsi="Garamond"/>
            <w:noProof/>
          </w:rPr>
          <w:t>6.1</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History</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_Toc325554583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21</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84" w:history="1">
        <w:r w:rsidR="0086175B" w:rsidRPr="0086175B">
          <w:rPr>
            <w:rStyle w:val="Hyperlink"/>
            <w:rFonts w:ascii="Garamond" w:hAnsi="Garamond"/>
            <w:noProof/>
          </w:rPr>
          <w:t>6.2</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Prevalence</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_Toc325554584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21</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85" w:history="1">
        <w:r w:rsidR="0086175B" w:rsidRPr="0086175B">
          <w:rPr>
            <w:rStyle w:val="Hyperlink"/>
            <w:rFonts w:ascii="Garamond" w:hAnsi="Garamond"/>
            <w:noProof/>
          </w:rPr>
          <w:t>6.3</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Review of Practices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_Toc325554585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22</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86" w:history="1">
        <w:r w:rsidR="0086175B" w:rsidRPr="0086175B">
          <w:rPr>
            <w:rStyle w:val="Hyperlink"/>
            <w:rFonts w:ascii="Garamond" w:hAnsi="Garamond"/>
            <w:noProof/>
          </w:rPr>
          <w:t>6.4</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Training and Qualifications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_Toc325554586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23</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87" w:history="1">
        <w:r w:rsidR="0086175B" w:rsidRPr="0086175B">
          <w:rPr>
            <w:rStyle w:val="Hyperlink"/>
            <w:rFonts w:ascii="Garamond" w:hAnsi="Garamond"/>
            <w:noProof/>
          </w:rPr>
          <w:t>6.5</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Complications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_Toc325554587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24</w:t>
        </w:r>
        <w:r w:rsidRPr="0086175B">
          <w:rPr>
            <w:rFonts w:ascii="Garamond" w:hAnsi="Garamond"/>
            <w:noProof/>
            <w:webHidden/>
          </w:rPr>
          <w:fldChar w:fldCharType="end"/>
        </w:r>
      </w:hyperlink>
    </w:p>
    <w:p w:rsidR="0086175B" w:rsidRPr="0086175B" w:rsidRDefault="000A7D09">
      <w:pPr>
        <w:pStyle w:val="TOC3"/>
        <w:tabs>
          <w:tab w:val="left" w:pos="1320"/>
          <w:tab w:val="right" w:leader="dot" w:pos="9742"/>
        </w:tabs>
        <w:rPr>
          <w:rFonts w:ascii="Garamond" w:eastAsiaTheme="minorEastAsia" w:hAnsi="Garamond" w:cstheme="minorBidi"/>
          <w:noProof/>
          <w:color w:val="auto"/>
          <w:sz w:val="22"/>
          <w:szCs w:val="22"/>
        </w:rPr>
      </w:pPr>
      <w:hyperlink w:anchor="_Toc325554588" w:history="1">
        <w:r w:rsidR="0086175B" w:rsidRPr="0086175B">
          <w:rPr>
            <w:rStyle w:val="Hyperlink"/>
            <w:rFonts w:ascii="Garamond" w:hAnsi="Garamond"/>
            <w:i/>
            <w:noProof/>
          </w:rPr>
          <w:t>6.5.1</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Allergies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_Toc325554588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24</w:t>
        </w:r>
        <w:r w:rsidRPr="0086175B">
          <w:rPr>
            <w:rFonts w:ascii="Garamond" w:hAnsi="Garamond"/>
            <w:noProof/>
            <w:webHidden/>
          </w:rPr>
          <w:fldChar w:fldCharType="end"/>
        </w:r>
      </w:hyperlink>
    </w:p>
    <w:p w:rsidR="0086175B" w:rsidRPr="0086175B" w:rsidRDefault="000A7D09">
      <w:pPr>
        <w:pStyle w:val="TOC3"/>
        <w:tabs>
          <w:tab w:val="left" w:pos="1320"/>
          <w:tab w:val="right" w:leader="dot" w:pos="9742"/>
        </w:tabs>
        <w:rPr>
          <w:rFonts w:ascii="Garamond" w:eastAsiaTheme="minorEastAsia" w:hAnsi="Garamond" w:cstheme="minorBidi"/>
          <w:noProof/>
          <w:color w:val="auto"/>
          <w:sz w:val="22"/>
          <w:szCs w:val="22"/>
        </w:rPr>
      </w:pPr>
      <w:hyperlink w:anchor="_Toc325554589" w:history="1">
        <w:r w:rsidR="0086175B" w:rsidRPr="0086175B">
          <w:rPr>
            <w:rStyle w:val="Hyperlink"/>
            <w:rFonts w:ascii="Garamond" w:hAnsi="Garamond"/>
            <w:i/>
            <w:noProof/>
            <w:lang w:val="fr-FR"/>
          </w:rPr>
          <w:t>6.5.2</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Infections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_Toc325554589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24</w:t>
        </w:r>
        <w:r w:rsidRPr="0086175B">
          <w:rPr>
            <w:rFonts w:ascii="Garamond" w:hAnsi="Garamond"/>
            <w:noProof/>
            <w:webHidden/>
          </w:rPr>
          <w:fldChar w:fldCharType="end"/>
        </w:r>
      </w:hyperlink>
    </w:p>
    <w:p w:rsidR="0086175B" w:rsidRPr="0086175B" w:rsidRDefault="000A7D09">
      <w:pPr>
        <w:pStyle w:val="TOC3"/>
        <w:tabs>
          <w:tab w:val="left" w:pos="1320"/>
          <w:tab w:val="right" w:leader="dot" w:pos="9742"/>
        </w:tabs>
        <w:rPr>
          <w:rFonts w:ascii="Garamond" w:eastAsiaTheme="minorEastAsia" w:hAnsi="Garamond" w:cstheme="minorBidi"/>
          <w:noProof/>
          <w:color w:val="auto"/>
          <w:sz w:val="22"/>
          <w:szCs w:val="22"/>
        </w:rPr>
      </w:pPr>
      <w:hyperlink w:anchor="_Toc325554590" w:history="1">
        <w:r w:rsidR="0086175B" w:rsidRPr="0086175B">
          <w:rPr>
            <w:rStyle w:val="Hyperlink"/>
            <w:rFonts w:ascii="Garamond" w:hAnsi="Garamond"/>
            <w:i/>
            <w:noProof/>
          </w:rPr>
          <w:t>6.5.3</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Others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_Toc325554590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25</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91" w:history="1">
        <w:r w:rsidR="0086175B" w:rsidRPr="0086175B">
          <w:rPr>
            <w:rStyle w:val="Hyperlink"/>
            <w:rFonts w:ascii="Garamond" w:hAnsi="Garamond"/>
            <w:noProof/>
          </w:rPr>
          <w:t>6.6</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Frequency of complications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_Toc325554591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25</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92" w:history="1">
        <w:r w:rsidR="0086175B" w:rsidRPr="0086175B">
          <w:rPr>
            <w:rStyle w:val="Hyperlink"/>
            <w:rFonts w:ascii="Garamond" w:hAnsi="Garamond"/>
            <w:noProof/>
          </w:rPr>
          <w:t>6.7</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Blood Borne Viruses and Tattooing</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_Toc325554592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25</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93" w:history="1">
        <w:r w:rsidR="0086175B" w:rsidRPr="0086175B">
          <w:rPr>
            <w:rStyle w:val="Hyperlink"/>
            <w:rFonts w:ascii="Garamond" w:hAnsi="Garamond"/>
            <w:noProof/>
          </w:rPr>
          <w:t>6.8</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Infections and risk of transmission</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_Toc325554593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26</w:t>
        </w:r>
        <w:r w:rsidRPr="0086175B">
          <w:rPr>
            <w:rFonts w:ascii="Garamond" w:hAnsi="Garamond"/>
            <w:noProof/>
            <w:webHidden/>
          </w:rPr>
          <w:fldChar w:fldCharType="end"/>
        </w:r>
      </w:hyperlink>
    </w:p>
    <w:p w:rsidR="0086175B" w:rsidRPr="0086175B" w:rsidRDefault="000A7D09">
      <w:pPr>
        <w:pStyle w:val="TOC1"/>
        <w:tabs>
          <w:tab w:val="left" w:pos="480"/>
          <w:tab w:val="right" w:leader="dot" w:pos="9742"/>
        </w:tabs>
        <w:rPr>
          <w:rFonts w:ascii="Garamond" w:eastAsiaTheme="minorEastAsia" w:hAnsi="Garamond" w:cstheme="minorBidi"/>
          <w:noProof/>
          <w:color w:val="auto"/>
          <w:sz w:val="22"/>
          <w:szCs w:val="22"/>
        </w:rPr>
      </w:pPr>
      <w:hyperlink w:anchor="_Toc325554594" w:history="1">
        <w:r w:rsidR="0086175B" w:rsidRPr="0086175B">
          <w:rPr>
            <w:rStyle w:val="Hyperlink"/>
            <w:rFonts w:ascii="Garamond" w:hAnsi="Garamond"/>
            <w:noProof/>
          </w:rPr>
          <w:t>7</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Current Guidelines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_Toc325554594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27</w:t>
        </w:r>
        <w:r w:rsidRPr="0086175B">
          <w:rPr>
            <w:rFonts w:ascii="Garamond" w:hAnsi="Garamond"/>
            <w:noProof/>
            <w:webHidden/>
          </w:rPr>
          <w:fldChar w:fldCharType="end"/>
        </w:r>
      </w:hyperlink>
    </w:p>
    <w:p w:rsidR="0086175B" w:rsidRPr="0086175B" w:rsidRDefault="000A7D09">
      <w:pPr>
        <w:pStyle w:val="TOC1"/>
        <w:tabs>
          <w:tab w:val="left" w:pos="480"/>
          <w:tab w:val="right" w:leader="dot" w:pos="9742"/>
        </w:tabs>
        <w:rPr>
          <w:rFonts w:ascii="Garamond" w:eastAsiaTheme="minorEastAsia" w:hAnsi="Garamond" w:cstheme="minorBidi"/>
          <w:noProof/>
          <w:color w:val="auto"/>
          <w:sz w:val="22"/>
          <w:szCs w:val="22"/>
        </w:rPr>
      </w:pPr>
      <w:hyperlink w:anchor="_Toc325554595" w:history="1">
        <w:r w:rsidR="0086175B" w:rsidRPr="0086175B">
          <w:rPr>
            <w:rStyle w:val="Hyperlink"/>
            <w:rFonts w:ascii="Garamond" w:hAnsi="Garamond"/>
            <w:noProof/>
          </w:rPr>
          <w:t>8</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Guidelines in other countries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_Toc325554595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28</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96" w:history="1">
        <w:r w:rsidR="0086175B" w:rsidRPr="0086175B">
          <w:rPr>
            <w:rStyle w:val="Hyperlink"/>
            <w:rFonts w:ascii="Garamond" w:hAnsi="Garamond"/>
            <w:noProof/>
          </w:rPr>
          <w:t>8.1</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Northern Ireland (Belfast City Council, 2011)</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_Toc325554596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28</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97" w:history="1">
        <w:r w:rsidR="0086175B" w:rsidRPr="0086175B">
          <w:rPr>
            <w:rStyle w:val="Hyperlink"/>
            <w:rFonts w:ascii="Garamond" w:hAnsi="Garamond"/>
            <w:noProof/>
          </w:rPr>
          <w:t>8.2</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Wales Model Bye law (Welsh Government, 2011)</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_Toc325554597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29</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98" w:history="1">
        <w:r w:rsidR="0086175B" w:rsidRPr="0086175B">
          <w:rPr>
            <w:rStyle w:val="Hyperlink"/>
            <w:rFonts w:ascii="Garamond" w:hAnsi="Garamond"/>
            <w:noProof/>
          </w:rPr>
          <w:t>8.3</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Scotland (Health Protection Scotland and the Royal Environmental Health Institute of Scotland,</w:t>
        </w:r>
        <w:r w:rsidR="0086175B" w:rsidRPr="0086175B">
          <w:rPr>
            <w:rStyle w:val="Hyperlink"/>
            <w:rFonts w:ascii="Garamond" w:hAnsi="Garamond"/>
            <w:i/>
            <w:noProof/>
          </w:rPr>
          <w:t xml:space="preserve"> 2011)</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_Toc325554598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29</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599" w:history="1">
        <w:r w:rsidR="0086175B" w:rsidRPr="0086175B">
          <w:rPr>
            <w:rStyle w:val="Hyperlink"/>
            <w:rFonts w:ascii="Garamond" w:hAnsi="Garamond"/>
            <w:noProof/>
          </w:rPr>
          <w:t>8.4</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Australia (Australian Capital Territory Health,</w:t>
        </w:r>
        <w:r w:rsidR="0086175B" w:rsidRPr="0086175B">
          <w:rPr>
            <w:rStyle w:val="Hyperlink"/>
            <w:rFonts w:ascii="Garamond" w:hAnsi="Garamond"/>
            <w:i/>
            <w:noProof/>
          </w:rPr>
          <w:t xml:space="preserve"> 2006;</w:t>
        </w:r>
        <w:r w:rsidR="0086175B" w:rsidRPr="0086175B">
          <w:rPr>
            <w:rStyle w:val="Hyperlink"/>
            <w:rFonts w:ascii="Garamond" w:hAnsi="Garamond"/>
            <w:noProof/>
          </w:rPr>
          <w:t xml:space="preserve"> Queensland Government, </w:t>
        </w:r>
        <w:r w:rsidR="0086175B" w:rsidRPr="0086175B">
          <w:rPr>
            <w:rStyle w:val="Hyperlink"/>
            <w:rFonts w:ascii="Garamond" w:hAnsi="Garamond"/>
            <w:i/>
            <w:noProof/>
          </w:rPr>
          <w:t>2007)</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_Toc325554599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29</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600" w:history="1">
        <w:r w:rsidR="0086175B" w:rsidRPr="0086175B">
          <w:rPr>
            <w:rStyle w:val="Hyperlink"/>
            <w:rFonts w:ascii="Garamond" w:hAnsi="Garamond"/>
            <w:noProof/>
          </w:rPr>
          <w:t>8.5</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rPr>
          <w:t>New Zealand</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_Toc325554600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30</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601" w:history="1">
        <w:r w:rsidR="0086175B" w:rsidRPr="0086175B">
          <w:rPr>
            <w:rStyle w:val="Hyperlink"/>
            <w:rFonts w:ascii="Garamond" w:hAnsi="Garamond"/>
            <w:noProof/>
            <w:lang w:val="en-US"/>
          </w:rPr>
          <w:t>8.6</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lang w:val="en-US"/>
          </w:rPr>
          <w:t>Canada (</w:t>
        </w:r>
        <w:r w:rsidR="0086175B" w:rsidRPr="0086175B">
          <w:rPr>
            <w:rStyle w:val="Hyperlink"/>
            <w:rFonts w:ascii="Garamond" w:hAnsi="Garamond"/>
            <w:noProof/>
          </w:rPr>
          <w:t xml:space="preserve">Alberta Health and Wellness, Canada. </w:t>
        </w:r>
        <w:r w:rsidR="0086175B" w:rsidRPr="0086175B">
          <w:rPr>
            <w:rStyle w:val="Hyperlink"/>
            <w:rFonts w:ascii="Garamond" w:hAnsi="Garamond"/>
            <w:i/>
            <w:noProof/>
          </w:rPr>
          <w:t>2002)</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_Toc325554601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30</w:t>
        </w:r>
        <w:r w:rsidRPr="0086175B">
          <w:rPr>
            <w:rFonts w:ascii="Garamond" w:hAnsi="Garamond"/>
            <w:noProof/>
            <w:webHidden/>
          </w:rPr>
          <w:fldChar w:fldCharType="end"/>
        </w:r>
      </w:hyperlink>
    </w:p>
    <w:p w:rsidR="0086175B" w:rsidRPr="0086175B" w:rsidRDefault="000A7D09">
      <w:pPr>
        <w:pStyle w:val="TOC1"/>
        <w:tabs>
          <w:tab w:val="left" w:pos="480"/>
          <w:tab w:val="right" w:leader="dot" w:pos="9742"/>
        </w:tabs>
        <w:rPr>
          <w:rFonts w:ascii="Garamond" w:eastAsiaTheme="minorEastAsia" w:hAnsi="Garamond" w:cstheme="minorBidi"/>
          <w:noProof/>
          <w:color w:val="auto"/>
          <w:sz w:val="22"/>
          <w:szCs w:val="22"/>
        </w:rPr>
      </w:pPr>
      <w:hyperlink w:anchor="_Toc325554602" w:history="1">
        <w:r w:rsidR="0086175B" w:rsidRPr="0086175B">
          <w:rPr>
            <w:rStyle w:val="Hyperlink"/>
            <w:rFonts w:ascii="Garamond" w:hAnsi="Garamond"/>
            <w:noProof/>
            <w:lang w:eastAsia="en-US"/>
          </w:rPr>
          <w:t>9</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lang w:eastAsia="en-US"/>
          </w:rPr>
          <w:t>Discussion</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_Toc325554602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31</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603" w:history="1">
        <w:r w:rsidR="0086175B" w:rsidRPr="0086175B">
          <w:rPr>
            <w:rStyle w:val="Hyperlink"/>
            <w:rFonts w:ascii="Garamond" w:hAnsi="Garamond"/>
            <w:noProof/>
            <w:lang w:eastAsia="en-US"/>
          </w:rPr>
          <w:t>9.1</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lang w:eastAsia="en-US"/>
          </w:rPr>
          <w:t>History and Prevalence</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_Toc325554603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31</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604" w:history="1">
        <w:r w:rsidR="0086175B" w:rsidRPr="0086175B">
          <w:rPr>
            <w:rStyle w:val="Hyperlink"/>
            <w:rFonts w:ascii="Garamond" w:hAnsi="Garamond"/>
            <w:noProof/>
            <w:lang w:eastAsia="en-US"/>
          </w:rPr>
          <w:t>9.2</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lang w:eastAsia="en-US"/>
          </w:rPr>
          <w:t>Complications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_Toc325554604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32</w:t>
        </w:r>
        <w:r w:rsidRPr="0086175B">
          <w:rPr>
            <w:rFonts w:ascii="Garamond" w:hAnsi="Garamond"/>
            <w:noProof/>
            <w:webHidden/>
          </w:rPr>
          <w:fldChar w:fldCharType="end"/>
        </w:r>
      </w:hyperlink>
    </w:p>
    <w:p w:rsidR="0086175B" w:rsidRPr="0086175B" w:rsidRDefault="000A7D09">
      <w:pPr>
        <w:pStyle w:val="TOC2"/>
        <w:tabs>
          <w:tab w:val="left" w:pos="880"/>
          <w:tab w:val="right" w:leader="dot" w:pos="9742"/>
        </w:tabs>
        <w:rPr>
          <w:rFonts w:ascii="Garamond" w:eastAsiaTheme="minorEastAsia" w:hAnsi="Garamond" w:cstheme="minorBidi"/>
          <w:noProof/>
          <w:color w:val="auto"/>
          <w:sz w:val="22"/>
          <w:szCs w:val="22"/>
        </w:rPr>
      </w:pPr>
      <w:hyperlink w:anchor="_Toc325554605" w:history="1">
        <w:r w:rsidR="0086175B" w:rsidRPr="0086175B">
          <w:rPr>
            <w:rStyle w:val="Hyperlink"/>
            <w:rFonts w:ascii="Garamond" w:hAnsi="Garamond"/>
            <w:noProof/>
            <w:lang w:eastAsia="en-US"/>
          </w:rPr>
          <w:t>9.3</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lang w:eastAsia="en-US"/>
          </w:rPr>
          <w:t>Blood borne virus and Tattooing</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_Toc325554605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34</w:t>
        </w:r>
        <w:r w:rsidRPr="0086175B">
          <w:rPr>
            <w:rFonts w:ascii="Garamond" w:hAnsi="Garamond"/>
            <w:noProof/>
            <w:webHidden/>
          </w:rPr>
          <w:fldChar w:fldCharType="end"/>
        </w:r>
      </w:hyperlink>
    </w:p>
    <w:p w:rsidR="0086175B" w:rsidRPr="0086175B" w:rsidRDefault="000A7D09">
      <w:pPr>
        <w:pStyle w:val="TOC1"/>
        <w:tabs>
          <w:tab w:val="left" w:pos="480"/>
          <w:tab w:val="right" w:leader="dot" w:pos="9742"/>
        </w:tabs>
        <w:rPr>
          <w:rFonts w:ascii="Garamond" w:eastAsiaTheme="minorEastAsia" w:hAnsi="Garamond" w:cstheme="minorBidi"/>
          <w:noProof/>
          <w:color w:val="auto"/>
          <w:sz w:val="22"/>
          <w:szCs w:val="22"/>
        </w:rPr>
      </w:pPr>
      <w:hyperlink w:anchor="_Toc325554606" w:history="1">
        <w:r w:rsidR="0086175B" w:rsidRPr="0086175B">
          <w:rPr>
            <w:rStyle w:val="Hyperlink"/>
            <w:rFonts w:ascii="Garamond" w:hAnsi="Garamond"/>
            <w:noProof/>
            <w:lang w:eastAsia="en-US"/>
          </w:rPr>
          <w:t>10</w:t>
        </w:r>
        <w:r w:rsidR="0086175B" w:rsidRPr="0086175B">
          <w:rPr>
            <w:rFonts w:ascii="Garamond" w:eastAsiaTheme="minorEastAsia" w:hAnsi="Garamond" w:cstheme="minorBidi"/>
            <w:noProof/>
            <w:color w:val="auto"/>
            <w:sz w:val="22"/>
            <w:szCs w:val="22"/>
          </w:rPr>
          <w:tab/>
        </w:r>
        <w:r w:rsidR="0086175B" w:rsidRPr="0086175B">
          <w:rPr>
            <w:rStyle w:val="Hyperlink"/>
            <w:rFonts w:ascii="Garamond" w:hAnsi="Garamond"/>
            <w:noProof/>
            <w:lang w:eastAsia="en-US"/>
          </w:rPr>
          <w:t>Conclusion</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_Toc325554606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35</w:t>
        </w:r>
        <w:r w:rsidRPr="0086175B">
          <w:rPr>
            <w:rFonts w:ascii="Garamond" w:hAnsi="Garamond"/>
            <w:noProof/>
            <w:webHidden/>
          </w:rPr>
          <w:fldChar w:fldCharType="end"/>
        </w:r>
      </w:hyperlink>
    </w:p>
    <w:p w:rsidR="0086175B" w:rsidRPr="0086175B" w:rsidRDefault="000A7D09">
      <w:pPr>
        <w:pStyle w:val="TOC1"/>
        <w:tabs>
          <w:tab w:val="right" w:leader="dot" w:pos="9742"/>
        </w:tabs>
        <w:rPr>
          <w:rFonts w:ascii="Garamond" w:eastAsiaTheme="minorEastAsia" w:hAnsi="Garamond" w:cstheme="minorBidi"/>
          <w:noProof/>
          <w:color w:val="auto"/>
          <w:sz w:val="22"/>
          <w:szCs w:val="22"/>
        </w:rPr>
      </w:pPr>
      <w:hyperlink w:anchor="_Toc325554607" w:history="1">
        <w:r w:rsidR="0086175B" w:rsidRPr="0086175B">
          <w:rPr>
            <w:rStyle w:val="Hyperlink"/>
            <w:rFonts w:ascii="Garamond" w:hAnsi="Garamond"/>
            <w:noProof/>
          </w:rPr>
          <w:t>Appendix 1:</w:t>
        </w:r>
        <w:r w:rsidR="0086175B" w:rsidRPr="0086175B">
          <w:rPr>
            <w:rStyle w:val="Hyperlink"/>
            <w:rFonts w:ascii="Garamond" w:hAnsi="Garamond"/>
            <w:noProof/>
            <w:lang w:eastAsia="en-US"/>
          </w:rPr>
          <w:t xml:space="preserve"> Scope of Guideline</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_Toc325554607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36</w:t>
        </w:r>
        <w:r w:rsidRPr="0086175B">
          <w:rPr>
            <w:rFonts w:ascii="Garamond" w:hAnsi="Garamond"/>
            <w:noProof/>
            <w:webHidden/>
          </w:rPr>
          <w:fldChar w:fldCharType="end"/>
        </w:r>
      </w:hyperlink>
    </w:p>
    <w:p w:rsidR="0086175B" w:rsidRPr="0086175B" w:rsidRDefault="000A7D09">
      <w:pPr>
        <w:pStyle w:val="TOC1"/>
        <w:tabs>
          <w:tab w:val="right" w:leader="dot" w:pos="9742"/>
        </w:tabs>
        <w:rPr>
          <w:rFonts w:ascii="Garamond" w:eastAsiaTheme="minorEastAsia" w:hAnsi="Garamond" w:cstheme="minorBidi"/>
          <w:noProof/>
          <w:color w:val="auto"/>
          <w:sz w:val="22"/>
          <w:szCs w:val="22"/>
        </w:rPr>
      </w:pPr>
      <w:hyperlink w:anchor="_Toc325554608" w:history="1">
        <w:r w:rsidR="0086175B" w:rsidRPr="0086175B">
          <w:rPr>
            <w:rStyle w:val="Hyperlink"/>
            <w:rFonts w:ascii="Garamond" w:hAnsi="Garamond"/>
            <w:noProof/>
          </w:rPr>
          <w:t>Appendix 2: Search Terms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_Toc325554608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39</w:t>
        </w:r>
        <w:r w:rsidRPr="0086175B">
          <w:rPr>
            <w:rFonts w:ascii="Garamond" w:hAnsi="Garamond"/>
            <w:noProof/>
            <w:webHidden/>
          </w:rPr>
          <w:fldChar w:fldCharType="end"/>
        </w:r>
      </w:hyperlink>
    </w:p>
    <w:p w:rsidR="0086175B" w:rsidRPr="0086175B" w:rsidRDefault="000A7D09">
      <w:pPr>
        <w:pStyle w:val="TOC1"/>
        <w:tabs>
          <w:tab w:val="right" w:leader="dot" w:pos="9742"/>
        </w:tabs>
        <w:rPr>
          <w:rFonts w:ascii="Garamond" w:eastAsiaTheme="minorEastAsia" w:hAnsi="Garamond" w:cstheme="minorBidi"/>
          <w:noProof/>
          <w:color w:val="auto"/>
          <w:sz w:val="22"/>
          <w:szCs w:val="22"/>
        </w:rPr>
      </w:pPr>
      <w:hyperlink w:anchor="_Toc325554609" w:history="1">
        <w:r w:rsidR="0086175B" w:rsidRPr="0086175B">
          <w:rPr>
            <w:rStyle w:val="Hyperlink"/>
            <w:rFonts w:ascii="Garamond" w:hAnsi="Garamond"/>
            <w:noProof/>
            <w:lang w:eastAsia="en-US"/>
          </w:rPr>
          <w:t>Appendix 3: List of guidelines, within and outside the UK, identified.</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_Toc325554609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40</w:t>
        </w:r>
        <w:r w:rsidRPr="0086175B">
          <w:rPr>
            <w:rFonts w:ascii="Garamond" w:hAnsi="Garamond"/>
            <w:noProof/>
            <w:webHidden/>
          </w:rPr>
          <w:fldChar w:fldCharType="end"/>
        </w:r>
      </w:hyperlink>
    </w:p>
    <w:p w:rsidR="0086175B" w:rsidRDefault="000A7D09">
      <w:pPr>
        <w:pStyle w:val="TOC1"/>
        <w:tabs>
          <w:tab w:val="right" w:leader="dot" w:pos="9742"/>
        </w:tabs>
        <w:rPr>
          <w:rFonts w:asciiTheme="minorHAnsi" w:eastAsiaTheme="minorEastAsia" w:hAnsiTheme="minorHAnsi" w:cstheme="minorBidi"/>
          <w:noProof/>
          <w:color w:val="auto"/>
          <w:sz w:val="22"/>
          <w:szCs w:val="22"/>
        </w:rPr>
      </w:pPr>
      <w:hyperlink w:anchor="_Toc325554610" w:history="1">
        <w:r w:rsidR="0086175B" w:rsidRPr="0086175B">
          <w:rPr>
            <w:rStyle w:val="Hyperlink"/>
            <w:rFonts w:ascii="Garamond" w:hAnsi="Garamond"/>
            <w:noProof/>
            <w:lang w:eastAsia="en-US"/>
          </w:rPr>
          <w:t>References</w:t>
        </w:r>
        <w:r w:rsidR="0086175B" w:rsidRPr="0086175B">
          <w:rPr>
            <w:rFonts w:ascii="Garamond" w:hAnsi="Garamond"/>
            <w:noProof/>
            <w:webHidden/>
          </w:rPr>
          <w:tab/>
        </w:r>
        <w:r w:rsidRPr="0086175B">
          <w:rPr>
            <w:rFonts w:ascii="Garamond" w:hAnsi="Garamond"/>
            <w:noProof/>
            <w:webHidden/>
          </w:rPr>
          <w:fldChar w:fldCharType="begin"/>
        </w:r>
        <w:r w:rsidR="0086175B" w:rsidRPr="0086175B">
          <w:rPr>
            <w:rFonts w:ascii="Garamond" w:hAnsi="Garamond"/>
            <w:noProof/>
            <w:webHidden/>
          </w:rPr>
          <w:instrText xml:space="preserve"> PAGEREF _Toc325554610 \h </w:instrText>
        </w:r>
        <w:r w:rsidR="00A82BF9" w:rsidRPr="000A7D09">
          <w:rPr>
            <w:rFonts w:ascii="Garamond" w:hAnsi="Garamond"/>
            <w:noProof/>
          </w:rPr>
        </w:r>
        <w:r w:rsidRPr="0086175B">
          <w:rPr>
            <w:rFonts w:ascii="Garamond" w:hAnsi="Garamond"/>
            <w:noProof/>
            <w:webHidden/>
          </w:rPr>
          <w:fldChar w:fldCharType="separate"/>
        </w:r>
        <w:r w:rsidR="00A82BF9">
          <w:rPr>
            <w:rFonts w:ascii="Garamond" w:hAnsi="Garamond"/>
            <w:noProof/>
            <w:webHidden/>
          </w:rPr>
          <w:t>42</w:t>
        </w:r>
        <w:r w:rsidRPr="0086175B">
          <w:rPr>
            <w:rFonts w:ascii="Garamond" w:hAnsi="Garamond"/>
            <w:noProof/>
            <w:webHidden/>
          </w:rPr>
          <w:fldChar w:fldCharType="end"/>
        </w:r>
      </w:hyperlink>
    </w:p>
    <w:p w:rsidR="007D20B7" w:rsidRDefault="000A7D09" w:rsidP="007D20B7">
      <w:r w:rsidRPr="00596F2A">
        <w:rPr>
          <w:rFonts w:ascii="Garamond" w:hAnsi="Garamond"/>
        </w:rPr>
        <w:fldChar w:fldCharType="end"/>
      </w:r>
    </w:p>
    <w:p w:rsidR="007D20B7" w:rsidRDefault="007D20B7" w:rsidP="007D20B7"/>
    <w:p w:rsidR="006C12B8" w:rsidRDefault="006C12B8" w:rsidP="007D20B7"/>
    <w:p w:rsidR="00726E41" w:rsidRDefault="00726E41" w:rsidP="007D20B7"/>
    <w:p w:rsidR="00726E41" w:rsidRDefault="00726E41" w:rsidP="007D20B7"/>
    <w:p w:rsidR="007D20B7" w:rsidRPr="00726E41" w:rsidRDefault="005029A6" w:rsidP="00596F2A">
      <w:pPr>
        <w:pStyle w:val="Heading1"/>
        <w:rPr>
          <w:rFonts w:ascii="Garamond" w:hAnsi="Garamond"/>
        </w:rPr>
      </w:pPr>
      <w:bookmarkStart w:id="0" w:name="_Toc325554572"/>
      <w:r w:rsidRPr="00726E41">
        <w:rPr>
          <w:rFonts w:ascii="Garamond" w:hAnsi="Garamond"/>
        </w:rPr>
        <w:t>List of Abbreviations</w:t>
      </w:r>
      <w:bookmarkEnd w:id="0"/>
    </w:p>
    <w:p w:rsidR="0008430C" w:rsidRDefault="0008430C" w:rsidP="007D20B7"/>
    <w:p w:rsidR="006C12B8" w:rsidRDefault="006C12B8" w:rsidP="007D20B7"/>
    <w:p w:rsidR="00367701" w:rsidRDefault="00367701" w:rsidP="00367701">
      <w:pPr>
        <w:rPr>
          <w:rFonts w:ascii="Garamond" w:hAnsi="Garamond"/>
          <w:bCs/>
          <w:iCs/>
          <w:color w:val="auto"/>
          <w:lang w:eastAsia="en-US"/>
        </w:rPr>
      </w:pPr>
      <w:r w:rsidRPr="00367701">
        <w:rPr>
          <w:rFonts w:ascii="Garamond" w:hAnsi="Garamond"/>
          <w:bCs/>
          <w:iCs/>
          <w:color w:val="auto"/>
          <w:lang w:eastAsia="en-US"/>
        </w:rPr>
        <w:t xml:space="preserve">ACDP           </w:t>
      </w:r>
      <w:r>
        <w:rPr>
          <w:rFonts w:ascii="Garamond" w:hAnsi="Garamond"/>
          <w:bCs/>
          <w:iCs/>
          <w:color w:val="auto"/>
          <w:lang w:eastAsia="en-US"/>
        </w:rPr>
        <w:t xml:space="preserve">    </w:t>
      </w:r>
      <w:r w:rsidRPr="00367701">
        <w:rPr>
          <w:rFonts w:ascii="Garamond" w:hAnsi="Garamond"/>
          <w:bCs/>
          <w:iCs/>
          <w:color w:val="auto"/>
          <w:lang w:eastAsia="en-US"/>
        </w:rPr>
        <w:t>Advisory Committee on Dangerous Pathogens</w:t>
      </w:r>
    </w:p>
    <w:p w:rsidR="00367701" w:rsidRPr="00367701" w:rsidRDefault="00367701" w:rsidP="00367701">
      <w:pPr>
        <w:rPr>
          <w:rFonts w:ascii="Garamond" w:hAnsi="Garamond"/>
          <w:bCs/>
          <w:iCs/>
          <w:color w:val="auto"/>
          <w:lang w:eastAsia="en-US"/>
        </w:rPr>
      </w:pPr>
    </w:p>
    <w:p w:rsidR="00367701" w:rsidRDefault="00367701" w:rsidP="00367701">
      <w:pPr>
        <w:rPr>
          <w:rFonts w:ascii="Garamond" w:hAnsi="Garamond"/>
          <w:color w:val="auto"/>
          <w:lang w:eastAsia="en-US"/>
        </w:rPr>
      </w:pPr>
      <w:r w:rsidRPr="00367701">
        <w:rPr>
          <w:rFonts w:ascii="Garamond" w:hAnsi="Garamond"/>
          <w:color w:val="auto"/>
          <w:lang w:eastAsia="en-US"/>
        </w:rPr>
        <w:t xml:space="preserve">AIDS              </w:t>
      </w:r>
      <w:r>
        <w:rPr>
          <w:rFonts w:ascii="Garamond" w:hAnsi="Garamond"/>
          <w:color w:val="auto"/>
          <w:lang w:eastAsia="en-US"/>
        </w:rPr>
        <w:t xml:space="preserve">  </w:t>
      </w:r>
      <w:r w:rsidRPr="00367701">
        <w:rPr>
          <w:rFonts w:ascii="Garamond" w:hAnsi="Garamond"/>
          <w:color w:val="auto"/>
          <w:lang w:eastAsia="en-US"/>
        </w:rPr>
        <w:t>Acquired Immunodeficiency Syndrome</w:t>
      </w:r>
    </w:p>
    <w:p w:rsidR="00367701" w:rsidRPr="00367701" w:rsidRDefault="00367701" w:rsidP="00367701">
      <w:pPr>
        <w:rPr>
          <w:rFonts w:ascii="Garamond" w:hAnsi="Garamond"/>
          <w:color w:val="auto"/>
          <w:lang w:eastAsia="en-US"/>
        </w:rPr>
      </w:pPr>
    </w:p>
    <w:p w:rsidR="00367701" w:rsidRDefault="00367701" w:rsidP="00367701">
      <w:pPr>
        <w:rPr>
          <w:rFonts w:ascii="Garamond" w:hAnsi="Garamond"/>
          <w:color w:val="auto"/>
          <w:lang w:eastAsia="en-US"/>
        </w:rPr>
      </w:pPr>
      <w:r w:rsidRPr="00367701">
        <w:rPr>
          <w:rFonts w:ascii="Garamond" w:hAnsi="Garamond"/>
          <w:color w:val="auto"/>
          <w:lang w:eastAsia="en-US"/>
        </w:rPr>
        <w:t xml:space="preserve">BBV              </w:t>
      </w:r>
      <w:r>
        <w:rPr>
          <w:rFonts w:ascii="Garamond" w:hAnsi="Garamond"/>
          <w:color w:val="auto"/>
          <w:lang w:eastAsia="en-US"/>
        </w:rPr>
        <w:t xml:space="preserve">  </w:t>
      </w:r>
      <w:r w:rsidRPr="00367701">
        <w:rPr>
          <w:rFonts w:ascii="Garamond" w:hAnsi="Garamond"/>
          <w:color w:val="auto"/>
          <w:lang w:eastAsia="en-US"/>
        </w:rPr>
        <w:t xml:space="preserve"> Blood Borne Virus</w:t>
      </w:r>
    </w:p>
    <w:p w:rsidR="00367701" w:rsidRPr="00367701" w:rsidRDefault="00367701" w:rsidP="00367701">
      <w:pPr>
        <w:rPr>
          <w:rFonts w:ascii="Garamond" w:hAnsi="Garamond"/>
          <w:color w:val="auto"/>
          <w:lang w:eastAsia="en-US"/>
        </w:rPr>
      </w:pPr>
    </w:p>
    <w:p w:rsidR="00367701" w:rsidRDefault="00367701" w:rsidP="00367701">
      <w:pPr>
        <w:rPr>
          <w:rFonts w:ascii="Garamond" w:hAnsi="Garamond" w:cs="Arial"/>
          <w:color w:val="auto"/>
        </w:rPr>
      </w:pPr>
      <w:r w:rsidRPr="00367701">
        <w:rPr>
          <w:rFonts w:ascii="Garamond" w:hAnsi="Garamond" w:cs="Arial"/>
          <w:color w:val="auto"/>
        </w:rPr>
        <w:t xml:space="preserve">CASP               Critical Appraisal Skills Programme </w:t>
      </w:r>
    </w:p>
    <w:p w:rsidR="00367701" w:rsidRPr="00367701" w:rsidRDefault="00367701" w:rsidP="00367701">
      <w:pPr>
        <w:rPr>
          <w:rFonts w:ascii="Garamond" w:hAnsi="Garamond"/>
          <w:color w:val="auto"/>
        </w:rPr>
      </w:pPr>
    </w:p>
    <w:p w:rsidR="00367701" w:rsidRDefault="00367701" w:rsidP="00367701">
      <w:pPr>
        <w:rPr>
          <w:rFonts w:ascii="Garamond" w:hAnsi="Garamond"/>
          <w:color w:val="auto"/>
        </w:rPr>
      </w:pPr>
      <w:r w:rsidRPr="00367701">
        <w:rPr>
          <w:rFonts w:ascii="Garamond" w:hAnsi="Garamond"/>
          <w:color w:val="auto"/>
        </w:rPr>
        <w:t xml:space="preserve">CIEH           </w:t>
      </w:r>
      <w:r>
        <w:rPr>
          <w:rFonts w:ascii="Garamond" w:hAnsi="Garamond"/>
          <w:color w:val="auto"/>
        </w:rPr>
        <w:t xml:space="preserve">    </w:t>
      </w:r>
      <w:r w:rsidRPr="00367701">
        <w:rPr>
          <w:rFonts w:ascii="Garamond" w:hAnsi="Garamond"/>
          <w:color w:val="auto"/>
        </w:rPr>
        <w:t xml:space="preserve">Chartered Institute of Environmental Health </w:t>
      </w:r>
    </w:p>
    <w:p w:rsidR="00367701" w:rsidRPr="00367701" w:rsidRDefault="00367701" w:rsidP="00367701">
      <w:pPr>
        <w:rPr>
          <w:rFonts w:ascii="Garamond" w:hAnsi="Garamond"/>
          <w:color w:val="auto"/>
        </w:rPr>
      </w:pPr>
    </w:p>
    <w:p w:rsidR="00367701" w:rsidRDefault="00367701" w:rsidP="00367701">
      <w:pPr>
        <w:rPr>
          <w:rFonts w:ascii="Garamond" w:hAnsi="Garamond" w:cs="Arial"/>
          <w:color w:val="auto"/>
        </w:rPr>
      </w:pPr>
      <w:r w:rsidRPr="00367701">
        <w:rPr>
          <w:rFonts w:ascii="Garamond" w:hAnsi="Garamond" w:cs="Arial"/>
          <w:color w:val="auto"/>
        </w:rPr>
        <w:t xml:space="preserve">CINAHL         </w:t>
      </w:r>
      <w:r>
        <w:rPr>
          <w:rFonts w:ascii="Garamond" w:hAnsi="Garamond" w:cs="Arial"/>
          <w:color w:val="auto"/>
        </w:rPr>
        <w:t xml:space="preserve"> </w:t>
      </w:r>
      <w:r w:rsidRPr="00367701">
        <w:rPr>
          <w:rFonts w:ascii="Garamond" w:hAnsi="Garamond" w:cs="Arial"/>
          <w:bCs/>
          <w:color w:val="auto"/>
        </w:rPr>
        <w:t>Cumulative Index to Nursing and Allied Health Literature</w:t>
      </w:r>
      <w:r w:rsidRPr="00367701">
        <w:rPr>
          <w:rFonts w:ascii="Garamond" w:hAnsi="Garamond" w:cs="Arial"/>
          <w:color w:val="auto"/>
        </w:rPr>
        <w:t xml:space="preserve"> </w:t>
      </w:r>
    </w:p>
    <w:p w:rsidR="00726E41" w:rsidRPr="00367701" w:rsidRDefault="00726E41" w:rsidP="00367701">
      <w:pPr>
        <w:rPr>
          <w:rFonts w:ascii="Garamond" w:hAnsi="Garamond" w:cs="Arial"/>
          <w:color w:val="auto"/>
        </w:rPr>
      </w:pPr>
    </w:p>
    <w:p w:rsidR="00367701" w:rsidRDefault="00367701" w:rsidP="00367701">
      <w:pPr>
        <w:rPr>
          <w:rFonts w:ascii="Garamond" w:hAnsi="Garamond"/>
          <w:color w:val="auto"/>
          <w:lang w:eastAsia="en-US"/>
        </w:rPr>
      </w:pPr>
      <w:r w:rsidRPr="00367701">
        <w:rPr>
          <w:rFonts w:ascii="Garamond" w:hAnsi="Garamond"/>
          <w:color w:val="auto"/>
          <w:lang w:eastAsia="en-US"/>
        </w:rPr>
        <w:t xml:space="preserve">HBV               </w:t>
      </w:r>
      <w:r>
        <w:rPr>
          <w:rFonts w:ascii="Garamond" w:hAnsi="Garamond"/>
          <w:color w:val="auto"/>
          <w:lang w:eastAsia="en-US"/>
        </w:rPr>
        <w:t xml:space="preserve">  </w:t>
      </w:r>
      <w:r w:rsidRPr="00367701">
        <w:rPr>
          <w:rFonts w:ascii="Garamond" w:hAnsi="Garamond"/>
          <w:color w:val="auto"/>
          <w:lang w:eastAsia="en-US"/>
        </w:rPr>
        <w:t>Hepatitis B Virus</w:t>
      </w:r>
    </w:p>
    <w:p w:rsidR="00726E41" w:rsidRPr="00367701" w:rsidRDefault="00726E41" w:rsidP="00367701">
      <w:pPr>
        <w:rPr>
          <w:rFonts w:ascii="Garamond" w:hAnsi="Garamond"/>
          <w:color w:val="auto"/>
          <w:lang w:eastAsia="en-US"/>
        </w:rPr>
      </w:pPr>
    </w:p>
    <w:p w:rsidR="00726E41" w:rsidRDefault="00367701" w:rsidP="00367701">
      <w:pPr>
        <w:rPr>
          <w:rFonts w:ascii="Garamond" w:hAnsi="Garamond"/>
          <w:color w:val="auto"/>
          <w:lang w:eastAsia="en-US"/>
        </w:rPr>
      </w:pPr>
      <w:r w:rsidRPr="00367701">
        <w:rPr>
          <w:rFonts w:ascii="Garamond" w:hAnsi="Garamond"/>
          <w:color w:val="auto"/>
          <w:lang w:eastAsia="en-US"/>
        </w:rPr>
        <w:t xml:space="preserve">HCV               </w:t>
      </w:r>
      <w:r>
        <w:rPr>
          <w:rFonts w:ascii="Garamond" w:hAnsi="Garamond"/>
          <w:color w:val="auto"/>
          <w:lang w:eastAsia="en-US"/>
        </w:rPr>
        <w:t xml:space="preserve">  </w:t>
      </w:r>
      <w:r w:rsidRPr="00367701">
        <w:rPr>
          <w:rFonts w:ascii="Garamond" w:hAnsi="Garamond"/>
          <w:color w:val="auto"/>
          <w:lang w:eastAsia="en-US"/>
        </w:rPr>
        <w:t>Hepatitis C Virus</w:t>
      </w:r>
    </w:p>
    <w:p w:rsidR="00367701" w:rsidRPr="00367701" w:rsidRDefault="00367701" w:rsidP="00367701">
      <w:pPr>
        <w:rPr>
          <w:rFonts w:ascii="Garamond" w:hAnsi="Garamond"/>
          <w:color w:val="auto"/>
          <w:lang w:eastAsia="en-US"/>
        </w:rPr>
      </w:pPr>
      <w:r w:rsidRPr="00367701">
        <w:rPr>
          <w:rFonts w:ascii="Garamond" w:hAnsi="Garamond"/>
          <w:color w:val="auto"/>
          <w:lang w:eastAsia="en-US"/>
        </w:rPr>
        <w:t xml:space="preserve"> </w:t>
      </w:r>
    </w:p>
    <w:p w:rsidR="00367701" w:rsidRDefault="00367701" w:rsidP="00367701">
      <w:pPr>
        <w:rPr>
          <w:rFonts w:ascii="Garamond" w:hAnsi="Garamond"/>
          <w:color w:val="auto"/>
          <w:lang w:eastAsia="en-US"/>
        </w:rPr>
      </w:pPr>
      <w:r w:rsidRPr="00367701">
        <w:rPr>
          <w:rFonts w:ascii="Garamond" w:hAnsi="Garamond"/>
          <w:color w:val="auto"/>
          <w:lang w:eastAsia="en-US"/>
        </w:rPr>
        <w:t xml:space="preserve">HIV                </w:t>
      </w:r>
      <w:r>
        <w:rPr>
          <w:rFonts w:ascii="Garamond" w:hAnsi="Garamond"/>
          <w:color w:val="auto"/>
          <w:lang w:eastAsia="en-US"/>
        </w:rPr>
        <w:t xml:space="preserve">  </w:t>
      </w:r>
      <w:r w:rsidRPr="00367701">
        <w:rPr>
          <w:rFonts w:ascii="Garamond" w:hAnsi="Garamond"/>
          <w:color w:val="auto"/>
          <w:lang w:eastAsia="en-US"/>
        </w:rPr>
        <w:t>Human Immunodeficiency Virus</w:t>
      </w:r>
    </w:p>
    <w:p w:rsidR="00726E41" w:rsidRPr="00367701" w:rsidRDefault="00726E41" w:rsidP="00367701">
      <w:pPr>
        <w:rPr>
          <w:rFonts w:ascii="Garamond" w:hAnsi="Garamond"/>
          <w:color w:val="auto"/>
          <w:lang w:eastAsia="en-US"/>
        </w:rPr>
      </w:pPr>
    </w:p>
    <w:p w:rsidR="00367701" w:rsidRDefault="00367701" w:rsidP="00367701">
      <w:pPr>
        <w:rPr>
          <w:rFonts w:ascii="Garamond" w:hAnsi="Garamond" w:cs="Arial"/>
          <w:bCs/>
          <w:color w:val="auto"/>
        </w:rPr>
      </w:pPr>
      <w:r w:rsidRPr="00367701">
        <w:rPr>
          <w:rFonts w:ascii="Garamond" w:hAnsi="Garamond" w:cs="Arial"/>
          <w:color w:val="auto"/>
        </w:rPr>
        <w:t xml:space="preserve">HMIC             </w:t>
      </w:r>
      <w:r>
        <w:rPr>
          <w:rFonts w:ascii="Garamond" w:hAnsi="Garamond" w:cs="Arial"/>
          <w:color w:val="auto"/>
        </w:rPr>
        <w:t xml:space="preserve">  </w:t>
      </w:r>
      <w:r w:rsidRPr="00367701">
        <w:rPr>
          <w:rFonts w:ascii="Garamond" w:hAnsi="Garamond" w:cs="Arial"/>
          <w:bCs/>
          <w:color w:val="auto"/>
        </w:rPr>
        <w:t>Health Management Information Consortium</w:t>
      </w:r>
    </w:p>
    <w:p w:rsidR="00726E41" w:rsidRPr="00367701" w:rsidRDefault="00726E41" w:rsidP="00367701">
      <w:pPr>
        <w:rPr>
          <w:rFonts w:ascii="Garamond" w:hAnsi="Garamond" w:cs="Arial"/>
          <w:color w:val="auto"/>
        </w:rPr>
      </w:pPr>
    </w:p>
    <w:p w:rsidR="00367701" w:rsidRDefault="00367701" w:rsidP="00367701">
      <w:pPr>
        <w:rPr>
          <w:rFonts w:ascii="Garamond" w:hAnsi="Garamond"/>
          <w:color w:val="auto"/>
        </w:rPr>
      </w:pPr>
      <w:r w:rsidRPr="00367701">
        <w:rPr>
          <w:rFonts w:ascii="Garamond" w:hAnsi="Garamond"/>
          <w:color w:val="auto"/>
        </w:rPr>
        <w:t xml:space="preserve">HPA                 Health Protection Agency </w:t>
      </w:r>
    </w:p>
    <w:p w:rsidR="005A2B73" w:rsidRDefault="005A2B73" w:rsidP="00367701">
      <w:pPr>
        <w:rPr>
          <w:rFonts w:ascii="Garamond" w:hAnsi="Garamond"/>
          <w:color w:val="auto"/>
        </w:rPr>
      </w:pPr>
    </w:p>
    <w:p w:rsidR="005A2B73" w:rsidRDefault="005A2B73" w:rsidP="00367701">
      <w:pPr>
        <w:rPr>
          <w:rFonts w:ascii="Garamond" w:hAnsi="Garamond"/>
          <w:color w:val="auto"/>
        </w:rPr>
      </w:pPr>
      <w:r>
        <w:rPr>
          <w:rFonts w:ascii="Garamond" w:hAnsi="Garamond"/>
          <w:color w:val="auto"/>
        </w:rPr>
        <w:t xml:space="preserve">HSL                  Health and Safety Laboratory </w:t>
      </w:r>
    </w:p>
    <w:p w:rsidR="00726E41" w:rsidRPr="00367701" w:rsidRDefault="00726E41" w:rsidP="00367701">
      <w:pPr>
        <w:rPr>
          <w:rFonts w:ascii="Garamond" w:hAnsi="Garamond"/>
          <w:color w:val="auto"/>
        </w:rPr>
      </w:pPr>
    </w:p>
    <w:p w:rsidR="00367701" w:rsidRDefault="00367701" w:rsidP="00367701">
      <w:pPr>
        <w:rPr>
          <w:rFonts w:ascii="Garamond" w:hAnsi="Garamond"/>
          <w:color w:val="auto"/>
          <w:lang w:eastAsia="en-US"/>
        </w:rPr>
      </w:pPr>
      <w:r w:rsidRPr="00367701">
        <w:rPr>
          <w:rFonts w:ascii="Garamond" w:hAnsi="Garamond"/>
          <w:color w:val="auto"/>
          <w:lang w:eastAsia="en-US"/>
        </w:rPr>
        <w:t xml:space="preserve">IDU              </w:t>
      </w:r>
      <w:r>
        <w:rPr>
          <w:rFonts w:ascii="Garamond" w:hAnsi="Garamond"/>
          <w:color w:val="auto"/>
          <w:lang w:eastAsia="en-US"/>
        </w:rPr>
        <w:t xml:space="preserve">   </w:t>
      </w:r>
      <w:r w:rsidRPr="00367701">
        <w:rPr>
          <w:rFonts w:ascii="Garamond" w:hAnsi="Garamond"/>
          <w:color w:val="auto"/>
          <w:lang w:eastAsia="en-US"/>
        </w:rPr>
        <w:t xml:space="preserve"> Injecting Drug User</w:t>
      </w:r>
    </w:p>
    <w:p w:rsidR="00726E41" w:rsidRPr="00367701" w:rsidRDefault="00726E41" w:rsidP="00367701">
      <w:pPr>
        <w:rPr>
          <w:rFonts w:ascii="Garamond" w:hAnsi="Garamond"/>
          <w:color w:val="auto"/>
          <w:lang w:eastAsia="en-US"/>
        </w:rPr>
      </w:pPr>
    </w:p>
    <w:p w:rsidR="00367701" w:rsidRDefault="00367701" w:rsidP="00367701">
      <w:pPr>
        <w:rPr>
          <w:rFonts w:ascii="Garamond" w:hAnsi="Garamond"/>
          <w:color w:val="auto"/>
          <w:lang w:eastAsia="en-US"/>
        </w:rPr>
      </w:pPr>
      <w:r w:rsidRPr="00367701">
        <w:rPr>
          <w:rFonts w:ascii="Garamond" w:hAnsi="Garamond"/>
          <w:color w:val="auto"/>
          <w:lang w:eastAsia="en-US"/>
        </w:rPr>
        <w:t xml:space="preserve">IVDU             </w:t>
      </w:r>
      <w:r>
        <w:rPr>
          <w:rFonts w:ascii="Garamond" w:hAnsi="Garamond"/>
          <w:color w:val="auto"/>
          <w:lang w:eastAsia="en-US"/>
        </w:rPr>
        <w:t xml:space="preserve"> </w:t>
      </w:r>
      <w:r w:rsidRPr="00367701">
        <w:rPr>
          <w:rFonts w:ascii="Garamond" w:hAnsi="Garamond"/>
          <w:color w:val="auto"/>
          <w:lang w:eastAsia="en-US"/>
        </w:rPr>
        <w:t xml:space="preserve"> Intravenous Drug User </w:t>
      </w:r>
    </w:p>
    <w:p w:rsidR="00726E41" w:rsidRPr="00367701" w:rsidRDefault="00726E41" w:rsidP="00367701">
      <w:pPr>
        <w:rPr>
          <w:rFonts w:ascii="Garamond" w:hAnsi="Garamond"/>
          <w:color w:val="auto"/>
          <w:lang w:eastAsia="en-US"/>
        </w:rPr>
      </w:pPr>
    </w:p>
    <w:p w:rsidR="00367701" w:rsidRDefault="00367701" w:rsidP="00367701">
      <w:pPr>
        <w:rPr>
          <w:rFonts w:ascii="Garamond" w:hAnsi="Garamond"/>
          <w:color w:val="auto"/>
        </w:rPr>
      </w:pPr>
      <w:r w:rsidRPr="00367701">
        <w:rPr>
          <w:rFonts w:ascii="Garamond" w:hAnsi="Garamond"/>
          <w:bCs/>
          <w:iCs/>
          <w:color w:val="auto"/>
          <w:lang w:eastAsia="en-US"/>
        </w:rPr>
        <w:t xml:space="preserve">LA                </w:t>
      </w:r>
      <w:r>
        <w:rPr>
          <w:rFonts w:ascii="Garamond" w:hAnsi="Garamond"/>
          <w:bCs/>
          <w:iCs/>
          <w:color w:val="auto"/>
          <w:lang w:eastAsia="en-US"/>
        </w:rPr>
        <w:t xml:space="preserve">   </w:t>
      </w:r>
      <w:r w:rsidRPr="00367701">
        <w:rPr>
          <w:rFonts w:ascii="Garamond" w:hAnsi="Garamond"/>
          <w:bCs/>
          <w:iCs/>
          <w:color w:val="auto"/>
          <w:lang w:eastAsia="en-US"/>
        </w:rPr>
        <w:t xml:space="preserve"> </w:t>
      </w:r>
      <w:r w:rsidRPr="00367701">
        <w:rPr>
          <w:rFonts w:ascii="Garamond" w:hAnsi="Garamond"/>
          <w:color w:val="auto"/>
        </w:rPr>
        <w:t>Local Authority</w:t>
      </w:r>
    </w:p>
    <w:p w:rsidR="00726E41" w:rsidRPr="00367701" w:rsidRDefault="00726E41" w:rsidP="00367701">
      <w:pPr>
        <w:rPr>
          <w:rFonts w:ascii="Garamond" w:hAnsi="Garamond"/>
          <w:bCs/>
          <w:iCs/>
          <w:color w:val="auto"/>
          <w:lang w:eastAsia="en-US"/>
        </w:rPr>
      </w:pPr>
    </w:p>
    <w:p w:rsidR="00367701" w:rsidRDefault="00367701" w:rsidP="00367701">
      <w:pPr>
        <w:rPr>
          <w:rFonts w:ascii="Garamond" w:hAnsi="Garamond"/>
          <w:color w:val="auto"/>
        </w:rPr>
      </w:pPr>
      <w:r w:rsidRPr="00367701">
        <w:rPr>
          <w:rFonts w:ascii="Garamond" w:hAnsi="Garamond"/>
          <w:color w:val="auto"/>
        </w:rPr>
        <w:t xml:space="preserve">LAC              </w:t>
      </w:r>
      <w:r>
        <w:rPr>
          <w:rFonts w:ascii="Garamond" w:hAnsi="Garamond"/>
          <w:color w:val="auto"/>
        </w:rPr>
        <w:t xml:space="preserve">  </w:t>
      </w:r>
      <w:r w:rsidRPr="00367701">
        <w:rPr>
          <w:rFonts w:ascii="Garamond" w:hAnsi="Garamond"/>
          <w:color w:val="auto"/>
        </w:rPr>
        <w:t xml:space="preserve"> Local Authority Circular</w:t>
      </w:r>
    </w:p>
    <w:p w:rsidR="00726E41" w:rsidRPr="00367701" w:rsidRDefault="00726E41" w:rsidP="00367701">
      <w:pPr>
        <w:rPr>
          <w:rFonts w:ascii="Garamond" w:hAnsi="Garamond"/>
          <w:color w:val="auto"/>
        </w:rPr>
      </w:pPr>
    </w:p>
    <w:p w:rsidR="00367701" w:rsidRDefault="00367701" w:rsidP="00367701">
      <w:pPr>
        <w:rPr>
          <w:rFonts w:ascii="Garamond" w:hAnsi="Garamond"/>
          <w:bCs/>
          <w:color w:val="auto"/>
        </w:rPr>
      </w:pPr>
      <w:r w:rsidRPr="00367701">
        <w:rPr>
          <w:rFonts w:ascii="Garamond" w:hAnsi="Garamond"/>
          <w:color w:val="auto"/>
        </w:rPr>
        <w:t xml:space="preserve">MHRA          </w:t>
      </w:r>
      <w:r>
        <w:rPr>
          <w:rFonts w:ascii="Garamond" w:hAnsi="Garamond"/>
          <w:color w:val="auto"/>
        </w:rPr>
        <w:t xml:space="preserve">  </w:t>
      </w:r>
      <w:r w:rsidRPr="00367701">
        <w:rPr>
          <w:rFonts w:ascii="Garamond" w:hAnsi="Garamond"/>
          <w:color w:val="auto"/>
        </w:rPr>
        <w:t xml:space="preserve"> </w:t>
      </w:r>
      <w:r w:rsidRPr="00367701">
        <w:rPr>
          <w:rFonts w:ascii="Garamond" w:hAnsi="Garamond"/>
          <w:bCs/>
          <w:color w:val="auto"/>
        </w:rPr>
        <w:t>Medicines and Healthcare products Regulatory Agency</w:t>
      </w:r>
    </w:p>
    <w:p w:rsidR="00726E41" w:rsidRPr="00367701" w:rsidRDefault="00726E41" w:rsidP="00367701">
      <w:pPr>
        <w:rPr>
          <w:rFonts w:ascii="Garamond" w:hAnsi="Garamond"/>
          <w:color w:val="auto"/>
        </w:rPr>
      </w:pPr>
    </w:p>
    <w:p w:rsidR="00367701" w:rsidRDefault="00367701" w:rsidP="00367701">
      <w:pPr>
        <w:rPr>
          <w:rFonts w:ascii="Garamond" w:hAnsi="Garamond" w:cs="Arial"/>
          <w:color w:val="auto"/>
        </w:rPr>
      </w:pPr>
      <w:r w:rsidRPr="00367701">
        <w:rPr>
          <w:rFonts w:ascii="Garamond" w:hAnsi="Garamond" w:cs="Arial"/>
          <w:color w:val="auto"/>
        </w:rPr>
        <w:t xml:space="preserve">NHS                </w:t>
      </w:r>
      <w:r>
        <w:rPr>
          <w:rFonts w:ascii="Garamond" w:hAnsi="Garamond" w:cs="Arial"/>
          <w:color w:val="auto"/>
        </w:rPr>
        <w:t xml:space="preserve"> </w:t>
      </w:r>
      <w:r w:rsidRPr="00367701">
        <w:rPr>
          <w:rFonts w:ascii="Garamond" w:hAnsi="Garamond" w:cs="Arial"/>
          <w:color w:val="auto"/>
        </w:rPr>
        <w:t>National Health Service</w:t>
      </w:r>
    </w:p>
    <w:p w:rsidR="00726E41" w:rsidRPr="00367701" w:rsidRDefault="00726E41" w:rsidP="00367701">
      <w:pPr>
        <w:rPr>
          <w:rFonts w:ascii="Garamond" w:hAnsi="Garamond" w:cs="Arial"/>
          <w:color w:val="auto"/>
        </w:rPr>
      </w:pPr>
    </w:p>
    <w:p w:rsidR="00726E41" w:rsidRDefault="00367701" w:rsidP="00367701">
      <w:pPr>
        <w:rPr>
          <w:rFonts w:ascii="Garamond" w:hAnsi="Garamond" w:cs="Arial"/>
          <w:color w:val="auto"/>
        </w:rPr>
      </w:pPr>
      <w:r w:rsidRPr="00367701">
        <w:rPr>
          <w:rFonts w:ascii="Garamond" w:hAnsi="Garamond" w:cs="Arial"/>
          <w:color w:val="auto"/>
        </w:rPr>
        <w:t xml:space="preserve">SIGN             </w:t>
      </w:r>
      <w:r>
        <w:rPr>
          <w:rFonts w:ascii="Garamond" w:hAnsi="Garamond" w:cs="Arial"/>
          <w:color w:val="auto"/>
        </w:rPr>
        <w:t xml:space="preserve"> </w:t>
      </w:r>
      <w:r w:rsidRPr="00367701">
        <w:rPr>
          <w:rFonts w:ascii="Garamond" w:hAnsi="Garamond" w:cs="Arial"/>
          <w:color w:val="auto"/>
        </w:rPr>
        <w:t xml:space="preserve"> Scottish Intercollegiate Grading Network</w:t>
      </w:r>
    </w:p>
    <w:p w:rsidR="00367701" w:rsidRPr="00367701" w:rsidRDefault="00367701" w:rsidP="00367701">
      <w:pPr>
        <w:rPr>
          <w:rFonts w:ascii="Garamond" w:hAnsi="Garamond" w:cs="Arial"/>
          <w:color w:val="auto"/>
        </w:rPr>
      </w:pPr>
      <w:r w:rsidRPr="00367701">
        <w:rPr>
          <w:rFonts w:ascii="Garamond" w:hAnsi="Garamond" w:cs="Arial"/>
          <w:color w:val="auto"/>
        </w:rPr>
        <w:t xml:space="preserve">     </w:t>
      </w:r>
    </w:p>
    <w:p w:rsidR="00367701" w:rsidRDefault="00367701" w:rsidP="00367701">
      <w:pPr>
        <w:rPr>
          <w:rFonts w:ascii="Garamond" w:hAnsi="Garamond" w:cs="Arial"/>
          <w:bCs/>
          <w:color w:val="auto"/>
        </w:rPr>
      </w:pPr>
      <w:r w:rsidRPr="00367701">
        <w:rPr>
          <w:rFonts w:ascii="Garamond" w:hAnsi="Garamond" w:cs="Arial"/>
          <w:color w:val="auto"/>
        </w:rPr>
        <w:t xml:space="preserve">SSCI               </w:t>
      </w:r>
      <w:r>
        <w:rPr>
          <w:rFonts w:ascii="Garamond" w:hAnsi="Garamond" w:cs="Arial"/>
          <w:color w:val="auto"/>
        </w:rPr>
        <w:t xml:space="preserve"> </w:t>
      </w:r>
      <w:r w:rsidRPr="00367701">
        <w:rPr>
          <w:rFonts w:ascii="Garamond" w:hAnsi="Garamond" w:cs="Arial"/>
          <w:color w:val="auto"/>
        </w:rPr>
        <w:t xml:space="preserve"> </w:t>
      </w:r>
      <w:r w:rsidRPr="00367701">
        <w:rPr>
          <w:rFonts w:ascii="Garamond" w:hAnsi="Garamond" w:cs="Arial"/>
          <w:bCs/>
          <w:color w:val="auto"/>
        </w:rPr>
        <w:t>Social Sciences Citation Index</w:t>
      </w:r>
    </w:p>
    <w:p w:rsidR="00726E41" w:rsidRPr="00367701" w:rsidRDefault="00726E41" w:rsidP="00367701">
      <w:pPr>
        <w:rPr>
          <w:rFonts w:ascii="Garamond" w:hAnsi="Garamond" w:cs="Arial"/>
          <w:bCs/>
          <w:color w:val="auto"/>
        </w:rPr>
      </w:pPr>
    </w:p>
    <w:p w:rsidR="00367701" w:rsidRDefault="00367701" w:rsidP="00367701">
      <w:pPr>
        <w:rPr>
          <w:rFonts w:ascii="Garamond" w:hAnsi="Garamond"/>
          <w:bCs/>
          <w:iCs/>
          <w:color w:val="auto"/>
          <w:lang w:eastAsia="en-US"/>
        </w:rPr>
      </w:pPr>
      <w:r w:rsidRPr="00367701">
        <w:rPr>
          <w:rFonts w:ascii="Garamond" w:hAnsi="Garamond"/>
          <w:bCs/>
          <w:iCs/>
          <w:color w:val="auto"/>
          <w:lang w:eastAsia="en-US"/>
        </w:rPr>
        <w:t xml:space="preserve">TB                </w:t>
      </w:r>
      <w:r>
        <w:rPr>
          <w:rFonts w:ascii="Garamond" w:hAnsi="Garamond"/>
          <w:bCs/>
          <w:iCs/>
          <w:color w:val="auto"/>
          <w:lang w:eastAsia="en-US"/>
        </w:rPr>
        <w:t xml:space="preserve">    </w:t>
      </w:r>
      <w:r w:rsidRPr="00367701">
        <w:rPr>
          <w:rFonts w:ascii="Garamond" w:hAnsi="Garamond"/>
          <w:bCs/>
          <w:iCs/>
          <w:color w:val="auto"/>
          <w:lang w:eastAsia="en-US"/>
        </w:rPr>
        <w:t>Tuberculosis</w:t>
      </w:r>
    </w:p>
    <w:p w:rsidR="00726E41" w:rsidRPr="00367701" w:rsidRDefault="00726E41" w:rsidP="00367701">
      <w:pPr>
        <w:rPr>
          <w:rFonts w:ascii="Garamond" w:hAnsi="Garamond"/>
          <w:bCs/>
          <w:iCs/>
          <w:color w:val="auto"/>
          <w:lang w:eastAsia="en-US"/>
        </w:rPr>
      </w:pPr>
    </w:p>
    <w:p w:rsidR="00367701" w:rsidRDefault="00367701" w:rsidP="00367701">
      <w:pPr>
        <w:rPr>
          <w:rFonts w:ascii="Garamond" w:hAnsi="Garamond"/>
          <w:color w:val="auto"/>
        </w:rPr>
      </w:pPr>
      <w:r w:rsidRPr="00367701">
        <w:rPr>
          <w:rFonts w:ascii="Garamond" w:hAnsi="Garamond"/>
          <w:color w:val="auto"/>
        </w:rPr>
        <w:t xml:space="preserve">TPI                   Tattoo and Piercing Industry Union </w:t>
      </w:r>
    </w:p>
    <w:p w:rsidR="00726E41" w:rsidRPr="00367701" w:rsidRDefault="00726E41" w:rsidP="00367701">
      <w:pPr>
        <w:rPr>
          <w:rFonts w:ascii="Garamond" w:hAnsi="Garamond"/>
          <w:color w:val="auto"/>
        </w:rPr>
      </w:pPr>
    </w:p>
    <w:p w:rsidR="00367701" w:rsidRDefault="00367701" w:rsidP="00367701">
      <w:pPr>
        <w:rPr>
          <w:rFonts w:ascii="Garamond" w:hAnsi="Garamond"/>
          <w:color w:val="auto"/>
        </w:rPr>
      </w:pPr>
      <w:r w:rsidRPr="00367701">
        <w:rPr>
          <w:rFonts w:ascii="Garamond" w:hAnsi="Garamond"/>
          <w:color w:val="auto"/>
        </w:rPr>
        <w:t xml:space="preserve">UK                   United Kingdom </w:t>
      </w:r>
    </w:p>
    <w:p w:rsidR="00726E41" w:rsidRPr="00367701" w:rsidRDefault="00726E41" w:rsidP="00367701">
      <w:pPr>
        <w:rPr>
          <w:rFonts w:ascii="Garamond" w:hAnsi="Garamond"/>
          <w:color w:val="auto"/>
        </w:rPr>
      </w:pPr>
    </w:p>
    <w:p w:rsidR="00AF2206" w:rsidRPr="005A2B73" w:rsidRDefault="00367701" w:rsidP="007D20B7">
      <w:pPr>
        <w:rPr>
          <w:rFonts w:ascii="Garamond" w:hAnsi="Garamond" w:cs="Arial"/>
          <w:color w:val="auto"/>
        </w:rPr>
      </w:pPr>
      <w:r w:rsidRPr="00367701">
        <w:rPr>
          <w:rFonts w:ascii="Garamond" w:hAnsi="Garamond"/>
          <w:color w:val="auto"/>
          <w:lang w:eastAsia="en-US"/>
        </w:rPr>
        <w:t xml:space="preserve">USA                </w:t>
      </w:r>
      <w:r>
        <w:rPr>
          <w:rFonts w:ascii="Garamond" w:hAnsi="Garamond"/>
          <w:color w:val="auto"/>
          <w:lang w:eastAsia="en-US"/>
        </w:rPr>
        <w:t xml:space="preserve"> </w:t>
      </w:r>
      <w:r w:rsidRPr="00367701">
        <w:rPr>
          <w:rFonts w:ascii="Garamond" w:hAnsi="Garamond"/>
          <w:color w:val="auto"/>
          <w:lang w:eastAsia="en-US"/>
        </w:rPr>
        <w:t>United States of America</w:t>
      </w:r>
    </w:p>
    <w:p w:rsidR="00006F4D" w:rsidRPr="000B14DE" w:rsidRDefault="00006F4D" w:rsidP="000B14DE">
      <w:pPr>
        <w:pStyle w:val="Heading1"/>
        <w:spacing w:line="480" w:lineRule="auto"/>
        <w:rPr>
          <w:rFonts w:ascii="Garamond" w:hAnsi="Garamond"/>
        </w:rPr>
      </w:pPr>
      <w:bookmarkStart w:id="1" w:name="_Toc325554573"/>
      <w:r w:rsidRPr="000B14DE">
        <w:rPr>
          <w:rFonts w:ascii="Garamond" w:hAnsi="Garamond"/>
        </w:rPr>
        <w:t>Background</w:t>
      </w:r>
      <w:bookmarkEnd w:id="1"/>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There are </w:t>
      </w:r>
      <w:r w:rsidR="00E14588">
        <w:rPr>
          <w:rFonts w:ascii="Garamond" w:hAnsi="Garamond"/>
          <w:color w:val="auto"/>
        </w:rPr>
        <w:t xml:space="preserve">suggestions of </w:t>
      </w:r>
      <w:r w:rsidRPr="000B14DE">
        <w:rPr>
          <w:rFonts w:ascii="Garamond" w:hAnsi="Garamond"/>
          <w:color w:val="auto"/>
        </w:rPr>
        <w:t>an increasing number of body art practices in the United Kingdom (UK), commercial and domestic, as a result of growing interest by the public</w:t>
      </w:r>
      <w:bookmarkStart w:id="2" w:name="_Ref193171409"/>
      <w:r w:rsidR="00A227EC">
        <w:rPr>
          <w:rFonts w:ascii="Garamond" w:hAnsi="Garamond"/>
          <w:color w:val="auto"/>
        </w:rPr>
        <w:t xml:space="preserve"> </w:t>
      </w:r>
      <w:r w:rsidR="00E41963">
        <w:rPr>
          <w:rFonts w:ascii="Garamond" w:hAnsi="Garamond"/>
          <w:color w:val="auto"/>
        </w:rPr>
        <w:t>(Armstrong,</w:t>
      </w:r>
      <w:r w:rsidR="0063594A">
        <w:rPr>
          <w:rFonts w:ascii="Garamond" w:hAnsi="Garamond"/>
          <w:color w:val="auto"/>
        </w:rPr>
        <w:t xml:space="preserve"> et al</w:t>
      </w:r>
      <w:r w:rsidR="00E41963">
        <w:rPr>
          <w:rFonts w:ascii="Garamond" w:hAnsi="Garamond"/>
          <w:color w:val="auto"/>
        </w:rPr>
        <w:t>.</w:t>
      </w:r>
      <w:r w:rsidR="0063594A">
        <w:rPr>
          <w:rFonts w:ascii="Garamond" w:hAnsi="Garamond"/>
          <w:color w:val="auto"/>
        </w:rPr>
        <w:t xml:space="preserve">, 2007; </w:t>
      </w:r>
      <w:r w:rsidR="00E14588" w:rsidRPr="000A7ED8">
        <w:rPr>
          <w:rFonts w:ascii="Garamond" w:hAnsi="Garamond"/>
          <w:color w:val="auto"/>
        </w:rPr>
        <w:t>Alan</w:t>
      </w:r>
      <w:r w:rsidR="00E14588">
        <w:rPr>
          <w:rFonts w:ascii="Garamond" w:hAnsi="Garamond"/>
          <w:color w:val="auto"/>
        </w:rPr>
        <w:t xml:space="preserve"> Beswick and Calderdale Council, 2008; </w:t>
      </w:r>
      <w:r w:rsidR="00FE4BD8">
        <w:rPr>
          <w:rFonts w:ascii="Garamond" w:hAnsi="Garamond"/>
          <w:color w:val="auto"/>
        </w:rPr>
        <w:t xml:space="preserve">Clay, 2009; </w:t>
      </w:r>
      <w:r w:rsidR="0063594A">
        <w:rPr>
          <w:rFonts w:ascii="Garamond" w:hAnsi="Garamond"/>
          <w:color w:val="auto"/>
        </w:rPr>
        <w:t>Cuyper and Perez-Cotapos</w:t>
      </w:r>
      <w:r w:rsidR="000C64F0">
        <w:rPr>
          <w:rFonts w:ascii="Garamond" w:hAnsi="Garamond"/>
          <w:color w:val="auto"/>
        </w:rPr>
        <w:t>, 2010</w:t>
      </w:r>
      <w:r w:rsidR="0063594A">
        <w:rPr>
          <w:rFonts w:ascii="Garamond" w:hAnsi="Garamond"/>
          <w:color w:val="auto"/>
        </w:rPr>
        <w:t>)</w:t>
      </w:r>
      <w:r w:rsidRPr="000B14DE">
        <w:rPr>
          <w:rFonts w:ascii="Garamond" w:hAnsi="Garamond"/>
          <w:color w:val="auto"/>
        </w:rPr>
        <w:t>.</w:t>
      </w:r>
      <w:bookmarkEnd w:id="2"/>
      <w:r w:rsidR="00A227EC" w:rsidRPr="000B14DE">
        <w:rPr>
          <w:rFonts w:ascii="Garamond" w:hAnsi="Garamond"/>
          <w:color w:val="auto"/>
        </w:rPr>
        <w:t xml:space="preserve"> </w:t>
      </w:r>
      <w:r w:rsidRPr="000B14DE">
        <w:rPr>
          <w:rFonts w:ascii="Garamond" w:hAnsi="Garamond"/>
          <w:color w:val="auto"/>
        </w:rPr>
        <w:t xml:space="preserve">This growing interest in body art, especially tattooing and body piercing, has caused concern not only amongst health professionals (who recognise the potential for the spread of infection during these practice) and environmental health professionals (who are responsible for ensuring those carrying out these practises and their premises are properly regulated) but also amongst politicians who have more recently debated issues arising from effects of these practices. </w:t>
      </w:r>
      <w:r w:rsidR="007B0CD4" w:rsidRPr="000B14DE">
        <w:rPr>
          <w:rFonts w:ascii="Garamond" w:hAnsi="Garamond"/>
          <w:color w:val="auto"/>
        </w:rPr>
        <w:t>More worrying is the finding that</w:t>
      </w:r>
      <w:r w:rsidR="00E41963">
        <w:rPr>
          <w:rFonts w:ascii="Garamond" w:hAnsi="Garamond"/>
          <w:color w:val="auto"/>
        </w:rPr>
        <w:t xml:space="preserve"> some </w:t>
      </w:r>
      <w:r w:rsidRPr="000B14DE">
        <w:rPr>
          <w:rFonts w:ascii="Garamond" w:hAnsi="Garamond"/>
          <w:color w:val="auto"/>
        </w:rPr>
        <w:t xml:space="preserve">practitioners and their clients are not aware of the risk of complications associated with these </w:t>
      </w:r>
      <w:r w:rsidRPr="00B90B3E">
        <w:rPr>
          <w:rFonts w:ascii="Garamond" w:hAnsi="Garamond"/>
          <w:color w:val="auto"/>
        </w:rPr>
        <w:t>practices</w:t>
      </w:r>
      <w:r w:rsidR="00E41963">
        <w:rPr>
          <w:rFonts w:ascii="Garamond" w:hAnsi="Garamond"/>
          <w:color w:val="auto"/>
        </w:rPr>
        <w:t xml:space="preserve"> (Oberdorfer, et al</w:t>
      </w:r>
      <w:r w:rsidR="00E41963" w:rsidRPr="00B90B3E">
        <w:rPr>
          <w:rFonts w:ascii="Garamond" w:hAnsi="Garamond"/>
          <w:color w:val="auto"/>
        </w:rPr>
        <w:t>.</w:t>
      </w:r>
      <w:r w:rsidR="00E41963">
        <w:rPr>
          <w:rFonts w:ascii="Garamond" w:hAnsi="Garamond"/>
          <w:color w:val="auto"/>
        </w:rPr>
        <w:t>, 2003; Benjamins, et al., 2006; Cuyper and Perez-Cotapos</w:t>
      </w:r>
      <w:r w:rsidR="00A227EC">
        <w:rPr>
          <w:rFonts w:ascii="Garamond" w:hAnsi="Garamond"/>
          <w:color w:val="auto"/>
        </w:rPr>
        <w:t>, 2010</w:t>
      </w:r>
      <w:r w:rsidR="00E41963">
        <w:rPr>
          <w:rFonts w:ascii="Garamond" w:hAnsi="Garamond"/>
          <w:color w:val="auto"/>
        </w:rPr>
        <w:t>)</w:t>
      </w:r>
      <w:r w:rsidR="00A227EC">
        <w:rPr>
          <w:rFonts w:ascii="Garamond" w:hAnsi="Garamond"/>
          <w:color w:val="auto"/>
        </w:rPr>
        <w:t>.</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In response to these concerns the H</w:t>
      </w:r>
      <w:r w:rsidR="004122A4">
        <w:rPr>
          <w:rFonts w:ascii="Garamond" w:hAnsi="Garamond"/>
          <w:color w:val="auto"/>
        </w:rPr>
        <w:t>ealth Protection Agency (HPA), local authorities in England, the Health and Safety Laboratory (HSL)</w:t>
      </w:r>
      <w:r w:rsidRPr="000B14DE">
        <w:rPr>
          <w:rFonts w:ascii="Garamond" w:hAnsi="Garamond"/>
          <w:color w:val="auto"/>
        </w:rPr>
        <w:t xml:space="preserve"> and the Chartered Institute of Environmental Health (CIEH) in collaboration with the Tattoo and Piercing Industry Union (TPI) agreed to review the evidence on tattooing and body piercing and develop national </w:t>
      </w:r>
      <w:r w:rsidR="00E14588">
        <w:rPr>
          <w:rFonts w:ascii="Garamond" w:hAnsi="Garamond"/>
          <w:color w:val="auto"/>
        </w:rPr>
        <w:t xml:space="preserve">(infection control) </w:t>
      </w:r>
      <w:r w:rsidRPr="000B14DE">
        <w:rPr>
          <w:rFonts w:ascii="Garamond" w:hAnsi="Garamond"/>
          <w:color w:val="auto"/>
        </w:rPr>
        <w:t>guidelines for both practitioners and regulators. It is hope</w:t>
      </w:r>
      <w:r w:rsidR="00F0594B">
        <w:rPr>
          <w:rFonts w:ascii="Garamond" w:hAnsi="Garamond"/>
          <w:color w:val="auto"/>
        </w:rPr>
        <w:t>d</w:t>
      </w:r>
      <w:r w:rsidRPr="000B14DE">
        <w:rPr>
          <w:rFonts w:ascii="Garamond" w:hAnsi="Garamond"/>
          <w:color w:val="auto"/>
        </w:rPr>
        <w:t xml:space="preserve"> that these guidelines will enable a consistent </w:t>
      </w:r>
      <w:r w:rsidR="00F0594B">
        <w:rPr>
          <w:rFonts w:ascii="Garamond" w:hAnsi="Garamond"/>
          <w:color w:val="auto"/>
        </w:rPr>
        <w:t xml:space="preserve">and </w:t>
      </w:r>
      <w:r w:rsidR="000F1DC4">
        <w:rPr>
          <w:rFonts w:ascii="Garamond" w:hAnsi="Garamond"/>
          <w:color w:val="auto"/>
        </w:rPr>
        <w:t xml:space="preserve">a </w:t>
      </w:r>
      <w:r w:rsidRPr="000B14DE">
        <w:rPr>
          <w:rFonts w:ascii="Garamond" w:hAnsi="Garamond"/>
          <w:color w:val="auto"/>
        </w:rPr>
        <w:t>minimum standard for safe practise of body art in the United Kingdom.</w:t>
      </w:r>
    </w:p>
    <w:p w:rsidR="00006F4D" w:rsidRPr="000B14DE" w:rsidRDefault="00006F4D" w:rsidP="00E61BB2">
      <w:pPr>
        <w:spacing w:line="360" w:lineRule="auto"/>
        <w:jc w:val="both"/>
        <w:rPr>
          <w:rFonts w:ascii="Garamond" w:hAnsi="Garamond" w:cs="Arial"/>
          <w:color w:val="auto"/>
        </w:rPr>
      </w:pPr>
      <w:r w:rsidRPr="000B14DE">
        <w:rPr>
          <w:rFonts w:ascii="Garamond" w:hAnsi="Garamond" w:cs="Arial"/>
          <w:color w:val="auto"/>
        </w:rPr>
        <w:t xml:space="preserve">The guidelines proposed </w:t>
      </w:r>
      <w:r w:rsidR="000F1DC4" w:rsidRPr="000B14DE">
        <w:rPr>
          <w:rFonts w:ascii="Garamond" w:hAnsi="Garamond" w:cs="Arial"/>
          <w:color w:val="auto"/>
        </w:rPr>
        <w:t>would</w:t>
      </w:r>
      <w:r w:rsidRPr="000B14DE">
        <w:rPr>
          <w:rFonts w:ascii="Garamond" w:hAnsi="Garamond" w:cs="Arial"/>
          <w:color w:val="auto"/>
        </w:rPr>
        <w:t xml:space="preserve"> cover both body piercing and tattooing practice; see Appendix 1 for specific areas of body </w:t>
      </w:r>
      <w:r w:rsidR="007B0CD4" w:rsidRPr="000B14DE">
        <w:rPr>
          <w:rFonts w:ascii="Garamond" w:hAnsi="Garamond" w:cs="Arial"/>
          <w:color w:val="auto"/>
        </w:rPr>
        <w:t xml:space="preserve">art </w:t>
      </w:r>
      <w:r w:rsidRPr="000B14DE">
        <w:rPr>
          <w:rFonts w:ascii="Garamond" w:hAnsi="Garamond" w:cs="Arial"/>
          <w:color w:val="auto"/>
        </w:rPr>
        <w:t xml:space="preserve">practice that will be covered in the guidelines.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The guidelines will be in two parts, the first part is a review of published and unpublished (gray) literature on key issues that relate to the practise of tattooing and body piercing and the second part is an operational guide for both practitioners and regulators. The first part will cover literature review on body piercing and tattoo, and the review of decontamination and infection control advice.</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The operational guide will be derived from the evidence gathered in the first part and from consultation with experts and stakeholders.</w:t>
      </w:r>
    </w:p>
    <w:p w:rsidR="00006F4D" w:rsidRPr="000B14DE" w:rsidRDefault="00006F4D" w:rsidP="000B14DE">
      <w:pPr>
        <w:pStyle w:val="Heading1"/>
        <w:spacing w:line="480" w:lineRule="auto"/>
        <w:rPr>
          <w:rFonts w:ascii="Garamond" w:hAnsi="Garamond"/>
        </w:rPr>
      </w:pPr>
      <w:bookmarkStart w:id="3" w:name="_Toc325554574"/>
      <w:r w:rsidRPr="000B14DE">
        <w:rPr>
          <w:rFonts w:ascii="Garamond" w:hAnsi="Garamond"/>
        </w:rPr>
        <w:t>Scope of the Literature review</w:t>
      </w:r>
      <w:bookmarkEnd w:id="3"/>
      <w:r w:rsidRPr="000B14DE">
        <w:rPr>
          <w:rFonts w:ascii="Garamond" w:hAnsi="Garamond"/>
        </w:rPr>
        <w:t xml:space="preserve"> </w:t>
      </w:r>
    </w:p>
    <w:p w:rsidR="00006F4D" w:rsidRPr="000B14DE" w:rsidRDefault="00006F4D" w:rsidP="00E61BB2">
      <w:pPr>
        <w:spacing w:line="360" w:lineRule="auto"/>
        <w:jc w:val="both"/>
        <w:rPr>
          <w:rFonts w:ascii="Garamond" w:hAnsi="Garamond" w:cs="Arial"/>
          <w:color w:val="auto"/>
        </w:rPr>
      </w:pPr>
      <w:r w:rsidRPr="000B14DE">
        <w:rPr>
          <w:rFonts w:ascii="Garamond" w:hAnsi="Garamond" w:cs="Arial"/>
          <w:color w:val="auto"/>
        </w:rPr>
        <w:t xml:space="preserve">A comprehensive literature review has already been conducted by the </w:t>
      </w:r>
      <w:r w:rsidR="00D33DC6" w:rsidRPr="000B14DE">
        <w:rPr>
          <w:rFonts w:ascii="Garamond" w:hAnsi="Garamond"/>
          <w:color w:val="auto"/>
        </w:rPr>
        <w:t>H</w:t>
      </w:r>
      <w:r w:rsidR="00D33DC6">
        <w:rPr>
          <w:rFonts w:ascii="Garamond" w:hAnsi="Garamond"/>
          <w:color w:val="auto"/>
        </w:rPr>
        <w:t>ealth Protection Agency</w:t>
      </w:r>
      <w:r w:rsidRPr="000B14DE">
        <w:rPr>
          <w:rFonts w:ascii="Garamond" w:hAnsi="Garamond" w:cs="Arial"/>
          <w:color w:val="auto"/>
        </w:rPr>
        <w:t xml:space="preserve"> on body piercing</w:t>
      </w:r>
      <w:r w:rsidR="00E41963">
        <w:rPr>
          <w:rFonts w:ascii="Garamond" w:hAnsi="Garamond" w:cs="Arial"/>
          <w:color w:val="auto"/>
        </w:rPr>
        <w:t xml:space="preserve"> (</w:t>
      </w:r>
      <w:r w:rsidR="00807486">
        <w:rPr>
          <w:rFonts w:ascii="Garamond" w:hAnsi="Garamond" w:cs="Arial"/>
          <w:color w:val="auto"/>
        </w:rPr>
        <w:t>Bone and Ncube, 2004)</w:t>
      </w:r>
      <w:r w:rsidRPr="000B14DE">
        <w:rPr>
          <w:rFonts w:ascii="Garamond" w:hAnsi="Garamond" w:cs="Arial"/>
          <w:color w:val="auto"/>
        </w:rPr>
        <w:t>.</w:t>
      </w:r>
      <w:r w:rsidR="00A227EC" w:rsidRPr="000B14DE">
        <w:rPr>
          <w:rFonts w:ascii="Garamond" w:hAnsi="Garamond" w:cs="Arial"/>
          <w:color w:val="auto"/>
        </w:rPr>
        <w:t xml:space="preserve"> </w:t>
      </w:r>
      <w:r w:rsidRPr="000B14DE">
        <w:rPr>
          <w:rFonts w:ascii="Garamond" w:hAnsi="Garamond" w:cs="Arial"/>
          <w:color w:val="auto"/>
        </w:rPr>
        <w:t xml:space="preserve">This report details the findings of the literature review on tattooing. </w:t>
      </w:r>
    </w:p>
    <w:p w:rsidR="00006F4D" w:rsidRPr="000B14DE" w:rsidRDefault="00006F4D" w:rsidP="00E61BB2">
      <w:pPr>
        <w:spacing w:line="360" w:lineRule="auto"/>
        <w:jc w:val="both"/>
        <w:rPr>
          <w:rFonts w:ascii="Garamond" w:hAnsi="Garamond" w:cs="Arial"/>
          <w:color w:val="auto"/>
        </w:rPr>
      </w:pPr>
      <w:r w:rsidRPr="000B14DE">
        <w:rPr>
          <w:rFonts w:ascii="Garamond" w:hAnsi="Garamond" w:cs="Arial"/>
          <w:color w:val="auto"/>
        </w:rPr>
        <w:t>The main aim of this literature review is to provide a</w:t>
      </w:r>
      <w:r w:rsidR="00FD4EFE">
        <w:rPr>
          <w:rFonts w:ascii="Garamond" w:hAnsi="Garamond" w:cs="Arial"/>
          <w:color w:val="auto"/>
        </w:rPr>
        <w:t xml:space="preserve">n insight on </w:t>
      </w:r>
      <w:r w:rsidRPr="000B14DE">
        <w:rPr>
          <w:rFonts w:ascii="Garamond" w:hAnsi="Garamond" w:cs="Arial"/>
          <w:color w:val="auto"/>
        </w:rPr>
        <w:t xml:space="preserve">the practice of tattooing, </w:t>
      </w:r>
      <w:r w:rsidR="00FD4EFE">
        <w:rPr>
          <w:rFonts w:ascii="Garamond" w:hAnsi="Garamond" w:cs="Arial"/>
          <w:color w:val="auto"/>
        </w:rPr>
        <w:t xml:space="preserve">a </w:t>
      </w:r>
      <w:r w:rsidR="00FD4EFE" w:rsidRPr="000B14DE">
        <w:rPr>
          <w:rFonts w:ascii="Garamond" w:hAnsi="Garamond" w:cs="Arial"/>
          <w:color w:val="auto"/>
        </w:rPr>
        <w:t xml:space="preserve">critical appraisal of existing evidence on </w:t>
      </w:r>
      <w:r w:rsidR="00FD4EFE">
        <w:rPr>
          <w:rFonts w:ascii="Garamond" w:hAnsi="Garamond" w:cs="Arial"/>
          <w:color w:val="auto"/>
        </w:rPr>
        <w:t xml:space="preserve">the prevalence of </w:t>
      </w:r>
      <w:r w:rsidR="00FD4EFE" w:rsidRPr="000B14DE">
        <w:rPr>
          <w:rFonts w:ascii="Garamond" w:hAnsi="Garamond" w:cs="Arial"/>
          <w:color w:val="auto"/>
        </w:rPr>
        <w:t xml:space="preserve">tattoo, </w:t>
      </w:r>
      <w:r w:rsidRPr="000B14DE">
        <w:rPr>
          <w:rFonts w:ascii="Garamond" w:hAnsi="Garamond" w:cs="Arial"/>
          <w:color w:val="auto"/>
        </w:rPr>
        <w:t>the complications and the factors asso</w:t>
      </w:r>
      <w:r w:rsidR="00E14588">
        <w:rPr>
          <w:rFonts w:ascii="Garamond" w:hAnsi="Garamond" w:cs="Arial"/>
          <w:color w:val="auto"/>
        </w:rPr>
        <w:t>ciated with these complications</w:t>
      </w:r>
      <w:r w:rsidRPr="000B14DE">
        <w:rPr>
          <w:rFonts w:ascii="Garamond" w:hAnsi="Garamond" w:cs="Arial"/>
          <w:color w:val="auto"/>
        </w:rPr>
        <w:t xml:space="preserve">. This report will also encompass a review of the literature on </w:t>
      </w:r>
      <w:r w:rsidR="007873AD">
        <w:rPr>
          <w:rFonts w:ascii="Garamond" w:hAnsi="Garamond" w:cs="Arial"/>
          <w:color w:val="auto"/>
        </w:rPr>
        <w:t>other guidelines</w:t>
      </w:r>
      <w:r w:rsidRPr="000B14DE">
        <w:rPr>
          <w:rFonts w:ascii="Garamond" w:hAnsi="Garamond" w:cs="Arial"/>
          <w:color w:val="auto"/>
        </w:rPr>
        <w:t xml:space="preserve"> relevant to tattooing and body piercing.</w:t>
      </w:r>
    </w:p>
    <w:p w:rsidR="00006F4D" w:rsidRPr="000B14DE" w:rsidRDefault="00006F4D" w:rsidP="000B14DE">
      <w:pPr>
        <w:pStyle w:val="Heading1"/>
        <w:rPr>
          <w:rFonts w:ascii="Garamond" w:hAnsi="Garamond"/>
        </w:rPr>
      </w:pPr>
      <w:bookmarkStart w:id="4" w:name="_Toc325554575"/>
      <w:r w:rsidRPr="000B14DE">
        <w:rPr>
          <w:rFonts w:ascii="Garamond" w:hAnsi="Garamond"/>
        </w:rPr>
        <w:t>Introduction</w:t>
      </w:r>
      <w:bookmarkEnd w:id="4"/>
    </w:p>
    <w:p w:rsidR="00006F4D" w:rsidRPr="000B14DE" w:rsidRDefault="00006F4D" w:rsidP="0085656F">
      <w:pPr>
        <w:pStyle w:val="Heading2"/>
        <w:rPr>
          <w:rFonts w:ascii="Garamond" w:hAnsi="Garamond"/>
        </w:rPr>
      </w:pPr>
      <w:bookmarkStart w:id="5" w:name="_Toc325554576"/>
      <w:r w:rsidRPr="000B14DE">
        <w:rPr>
          <w:rFonts w:ascii="Garamond" w:hAnsi="Garamond"/>
        </w:rPr>
        <w:t>Definition</w:t>
      </w:r>
      <w:bookmarkEnd w:id="5"/>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Tattooing is defined as </w:t>
      </w:r>
      <w:r w:rsidRPr="000B14DE">
        <w:rPr>
          <w:rFonts w:ascii="Garamond" w:hAnsi="Garamond"/>
          <w:i/>
          <w:color w:val="auto"/>
        </w:rPr>
        <w:t>‘the practice of producing an indelible mark or figure on the human body by inserting pigment under the skin using needles or other sharp instruments’</w:t>
      </w:r>
      <w:r w:rsidR="00D33DC6">
        <w:rPr>
          <w:rFonts w:ascii="Garamond" w:hAnsi="Garamond"/>
          <w:i/>
          <w:color w:val="auto"/>
        </w:rPr>
        <w:t xml:space="preserve"> </w:t>
      </w:r>
      <w:r w:rsidR="00D33DC6" w:rsidRPr="00D33DC6">
        <w:rPr>
          <w:rFonts w:ascii="Garamond" w:hAnsi="Garamond"/>
          <w:color w:val="auto"/>
        </w:rPr>
        <w:t>(</w:t>
      </w:r>
      <w:r w:rsidR="00D33DC6">
        <w:rPr>
          <w:rFonts w:ascii="Garamond" w:hAnsi="Garamond"/>
          <w:color w:val="auto"/>
        </w:rPr>
        <w:t>Cu</w:t>
      </w:r>
      <w:r w:rsidR="00397EE3">
        <w:rPr>
          <w:rFonts w:ascii="Garamond" w:hAnsi="Garamond"/>
          <w:color w:val="auto"/>
        </w:rPr>
        <w:t>yper and Perez-Cotapos,2010, p1</w:t>
      </w:r>
      <w:r w:rsidR="00D33DC6">
        <w:rPr>
          <w:rFonts w:ascii="Garamond" w:hAnsi="Garamond"/>
          <w:color w:val="auto"/>
        </w:rPr>
        <w:t>)</w:t>
      </w:r>
      <w:r w:rsidR="00246AC2">
        <w:rPr>
          <w:rFonts w:ascii="Garamond" w:hAnsi="Garamond"/>
          <w:color w:val="auto"/>
        </w:rPr>
        <w:t>.</w:t>
      </w:r>
      <w:r w:rsidR="00D33DC6">
        <w:rPr>
          <w:rFonts w:ascii="Garamond" w:hAnsi="Garamond"/>
          <w:color w:val="auto"/>
        </w:rPr>
        <w:t xml:space="preserve"> </w:t>
      </w:r>
      <w:r w:rsidR="00246AC2">
        <w:rPr>
          <w:rFonts w:ascii="Garamond" w:hAnsi="Garamond"/>
          <w:color w:val="auto"/>
        </w:rPr>
        <w:t xml:space="preserve">Cuyper and Perez-Cotapos (2010) and the </w:t>
      </w:r>
      <w:r w:rsidRPr="000B14DE">
        <w:rPr>
          <w:rFonts w:ascii="Garamond" w:hAnsi="Garamond"/>
          <w:color w:val="auto"/>
        </w:rPr>
        <w:t xml:space="preserve">America Academy of </w:t>
      </w:r>
      <w:r w:rsidR="007873AD" w:rsidRPr="000B14DE">
        <w:rPr>
          <w:rFonts w:ascii="Garamond" w:hAnsi="Garamond"/>
          <w:color w:val="auto"/>
        </w:rPr>
        <w:t>Dermatology</w:t>
      </w:r>
      <w:r w:rsidR="007873AD">
        <w:rPr>
          <w:rFonts w:ascii="Garamond" w:hAnsi="Garamond"/>
          <w:color w:val="auto"/>
        </w:rPr>
        <w:t xml:space="preserve"> (</w:t>
      </w:r>
      <w:r w:rsidR="00246AC2">
        <w:rPr>
          <w:rFonts w:ascii="Garamond" w:hAnsi="Garamond"/>
          <w:color w:val="auto"/>
        </w:rPr>
        <w:t>2012</w:t>
      </w:r>
      <w:r w:rsidR="00B61AC5">
        <w:rPr>
          <w:rFonts w:ascii="Garamond" w:hAnsi="Garamond"/>
          <w:color w:val="auto"/>
        </w:rPr>
        <w:t xml:space="preserve">) </w:t>
      </w:r>
      <w:r w:rsidRPr="000B14DE">
        <w:rPr>
          <w:rFonts w:ascii="Garamond" w:hAnsi="Garamond"/>
          <w:color w:val="auto"/>
        </w:rPr>
        <w:t xml:space="preserve">asserts that there are five types of tattooing, these are a) Traumatic (natural) b) Amateur c) Professional d) Cosmetic, mainly those used for permanent makeup e.g. eye liners and e) Medical tattoos (also called dermatography, used in nipple reconstruction, camouflage for scars, alopecia, vitiligo and birthmarks).  </w:t>
      </w:r>
    </w:p>
    <w:p w:rsidR="00006F4D" w:rsidRPr="000B14DE" w:rsidRDefault="00006F4D" w:rsidP="000B14DE">
      <w:pPr>
        <w:pStyle w:val="Heading1"/>
        <w:rPr>
          <w:rFonts w:ascii="Garamond" w:hAnsi="Garamond"/>
        </w:rPr>
      </w:pPr>
      <w:bookmarkStart w:id="6" w:name="_Toc325554577"/>
      <w:r w:rsidRPr="000B14DE">
        <w:rPr>
          <w:rFonts w:ascii="Garamond" w:hAnsi="Garamond"/>
        </w:rPr>
        <w:t>Literature Review Method</w:t>
      </w:r>
      <w:bookmarkEnd w:id="6"/>
    </w:p>
    <w:p w:rsidR="00006F4D" w:rsidRPr="000B14DE" w:rsidRDefault="00006F4D" w:rsidP="0085656F">
      <w:pPr>
        <w:pStyle w:val="Heading2"/>
        <w:rPr>
          <w:rFonts w:ascii="Garamond" w:hAnsi="Garamond"/>
        </w:rPr>
      </w:pPr>
      <w:bookmarkStart w:id="7" w:name="_Toc325554578"/>
      <w:r w:rsidRPr="000B14DE">
        <w:rPr>
          <w:rFonts w:ascii="Garamond" w:hAnsi="Garamond"/>
        </w:rPr>
        <w:t>Objectives</w:t>
      </w:r>
      <w:bookmarkEnd w:id="7"/>
    </w:p>
    <w:p w:rsidR="00006F4D" w:rsidRPr="000B14DE" w:rsidRDefault="00006F4D" w:rsidP="00E61BB2">
      <w:pPr>
        <w:spacing w:line="360" w:lineRule="auto"/>
        <w:jc w:val="both"/>
        <w:rPr>
          <w:rFonts w:ascii="Garamond" w:hAnsi="Garamond" w:cs="Arial"/>
          <w:color w:val="auto"/>
        </w:rPr>
      </w:pPr>
      <w:r w:rsidRPr="000B14DE">
        <w:rPr>
          <w:rFonts w:ascii="Garamond" w:hAnsi="Garamond" w:cs="Arial"/>
          <w:color w:val="auto"/>
        </w:rPr>
        <w:t>1. To review published and gray literature on the epidemiology of tattooing.</w:t>
      </w:r>
    </w:p>
    <w:p w:rsidR="00006F4D" w:rsidRPr="000B14DE" w:rsidRDefault="00006F4D" w:rsidP="00E61BB2">
      <w:pPr>
        <w:spacing w:line="360" w:lineRule="auto"/>
        <w:jc w:val="both"/>
        <w:rPr>
          <w:rFonts w:ascii="Garamond" w:hAnsi="Garamond" w:cs="Arial"/>
          <w:color w:val="auto"/>
        </w:rPr>
      </w:pPr>
      <w:r w:rsidRPr="000B14DE">
        <w:rPr>
          <w:rFonts w:ascii="Garamond" w:hAnsi="Garamond" w:cs="Arial"/>
          <w:color w:val="auto"/>
        </w:rPr>
        <w:t>2. To review published and gray literature on the complications associated with tattooing.</w:t>
      </w:r>
    </w:p>
    <w:p w:rsidR="00006F4D" w:rsidRPr="000B14DE" w:rsidRDefault="00006F4D" w:rsidP="0085656F">
      <w:pPr>
        <w:pStyle w:val="Heading2"/>
        <w:rPr>
          <w:rFonts w:ascii="Garamond" w:hAnsi="Garamond"/>
        </w:rPr>
      </w:pPr>
      <w:bookmarkStart w:id="8" w:name="_Toc325554579"/>
      <w:r w:rsidRPr="000B14DE">
        <w:rPr>
          <w:rFonts w:ascii="Garamond" w:hAnsi="Garamond"/>
        </w:rPr>
        <w:t>Search Strategy</w:t>
      </w:r>
      <w:bookmarkEnd w:id="8"/>
    </w:p>
    <w:p w:rsidR="00006F4D" w:rsidRPr="000B14DE" w:rsidRDefault="00006F4D" w:rsidP="00E61BB2">
      <w:pPr>
        <w:spacing w:line="360" w:lineRule="auto"/>
        <w:jc w:val="both"/>
        <w:rPr>
          <w:rFonts w:ascii="Garamond" w:hAnsi="Garamond" w:cs="Arial"/>
          <w:color w:val="auto"/>
        </w:rPr>
      </w:pPr>
      <w:r w:rsidRPr="000B14DE">
        <w:rPr>
          <w:rFonts w:ascii="Garamond" w:hAnsi="Garamond" w:cs="Arial"/>
          <w:color w:val="auto"/>
        </w:rPr>
        <w:t xml:space="preserve">The following electronic databases were searched for published literature: the HMIC, Medline, Embase, CINAHL, SSCI, Google Scholar and NHS Evidence. The search covered articles published between the period </w:t>
      </w:r>
      <w:r w:rsidR="000B2A0F">
        <w:rPr>
          <w:rFonts w:ascii="Garamond" w:hAnsi="Garamond" w:cs="Arial"/>
          <w:color w:val="auto"/>
        </w:rPr>
        <w:t xml:space="preserve">January </w:t>
      </w:r>
      <w:r w:rsidRPr="000B14DE">
        <w:rPr>
          <w:rFonts w:ascii="Garamond" w:hAnsi="Garamond" w:cs="Arial"/>
          <w:color w:val="auto"/>
        </w:rPr>
        <w:t xml:space="preserve">1980 and March 2012.  The search terms used are provided in Appendix </w:t>
      </w:r>
      <w:r w:rsidR="007B0CD4" w:rsidRPr="000B14DE">
        <w:rPr>
          <w:rFonts w:ascii="Garamond" w:hAnsi="Garamond" w:cs="Arial"/>
          <w:color w:val="auto"/>
        </w:rPr>
        <w:t>2</w:t>
      </w:r>
      <w:r w:rsidRPr="000B14DE">
        <w:rPr>
          <w:rFonts w:ascii="Garamond" w:hAnsi="Garamond" w:cs="Arial"/>
          <w:color w:val="auto"/>
        </w:rPr>
        <w:t xml:space="preserve">. </w:t>
      </w:r>
    </w:p>
    <w:p w:rsidR="00006F4D" w:rsidRPr="000B14DE" w:rsidRDefault="00006F4D" w:rsidP="00E61BB2">
      <w:pPr>
        <w:spacing w:line="360" w:lineRule="auto"/>
        <w:jc w:val="both"/>
        <w:rPr>
          <w:rFonts w:ascii="Garamond" w:hAnsi="Garamond" w:cs="Arial"/>
          <w:color w:val="auto"/>
        </w:rPr>
      </w:pPr>
      <w:r w:rsidRPr="000B14DE">
        <w:rPr>
          <w:rFonts w:ascii="Garamond" w:hAnsi="Garamond" w:cs="Arial"/>
          <w:color w:val="auto"/>
        </w:rPr>
        <w:t>Gray literatures were collated from members of the working group, stakeholders and experts on the subject. Reference list of some identified articles from search conducted were used to identify other relevant articles as well.</w:t>
      </w:r>
    </w:p>
    <w:p w:rsidR="00006F4D" w:rsidRDefault="00006F4D" w:rsidP="0085656F">
      <w:pPr>
        <w:pStyle w:val="Heading2"/>
        <w:rPr>
          <w:rFonts w:ascii="Garamond" w:hAnsi="Garamond"/>
        </w:rPr>
      </w:pPr>
      <w:bookmarkStart w:id="9" w:name="_Toc325554580"/>
      <w:r w:rsidRPr="000B14DE">
        <w:rPr>
          <w:rFonts w:ascii="Garamond" w:hAnsi="Garamond"/>
        </w:rPr>
        <w:t>Inclusion and exclusion criteria</w:t>
      </w:r>
      <w:bookmarkEnd w:id="9"/>
    </w:p>
    <w:p w:rsidR="002F6805" w:rsidRDefault="002F6805" w:rsidP="002F6805">
      <w:pPr>
        <w:spacing w:line="360" w:lineRule="auto"/>
        <w:jc w:val="both"/>
        <w:rPr>
          <w:rFonts w:ascii="Garamond" w:hAnsi="Garamond" w:cs="Arial"/>
          <w:color w:val="auto"/>
        </w:rPr>
      </w:pPr>
      <w:r w:rsidRPr="000B14DE">
        <w:rPr>
          <w:rFonts w:ascii="Garamond" w:hAnsi="Garamond" w:cs="Arial"/>
          <w:color w:val="auto"/>
        </w:rPr>
        <w:t xml:space="preserve">Articles included in this review were limited to only those with exposure to tattooing as defined in section on </w:t>
      </w:r>
      <w:r>
        <w:rPr>
          <w:rFonts w:ascii="Garamond" w:hAnsi="Garamond" w:cs="Arial"/>
          <w:color w:val="auto"/>
        </w:rPr>
        <w:t>3.1(</w:t>
      </w:r>
      <w:r w:rsidRPr="000B14DE">
        <w:rPr>
          <w:rFonts w:ascii="Garamond" w:hAnsi="Garamond" w:cs="Arial"/>
          <w:i/>
          <w:color w:val="auto"/>
        </w:rPr>
        <w:t>Definition</w:t>
      </w:r>
      <w:r>
        <w:rPr>
          <w:rFonts w:ascii="Garamond" w:hAnsi="Garamond" w:cs="Arial"/>
          <w:color w:val="auto"/>
        </w:rPr>
        <w:t>)</w:t>
      </w:r>
      <w:r w:rsidRPr="000B14DE">
        <w:rPr>
          <w:rFonts w:ascii="Garamond" w:hAnsi="Garamond" w:cs="Arial"/>
          <w:color w:val="auto"/>
        </w:rPr>
        <w:t xml:space="preserve"> above.  Articles that did not have abstracts, that could not be retrieved and those not written in English were excluded. See figure 1 below:</w:t>
      </w:r>
    </w:p>
    <w:p w:rsidR="002F6805" w:rsidRDefault="002F6805" w:rsidP="002F6805">
      <w:pPr>
        <w:spacing w:line="360" w:lineRule="auto"/>
        <w:jc w:val="both"/>
        <w:rPr>
          <w:rFonts w:ascii="Garamond" w:hAnsi="Garamond" w:cs="Arial"/>
          <w:color w:val="auto"/>
        </w:rPr>
      </w:pPr>
    </w:p>
    <w:p w:rsidR="002F6805" w:rsidRDefault="002F6805" w:rsidP="002F6805">
      <w:pPr>
        <w:spacing w:line="360" w:lineRule="auto"/>
        <w:jc w:val="both"/>
        <w:rPr>
          <w:rFonts w:ascii="Garamond" w:hAnsi="Garamond" w:cs="Arial"/>
          <w:color w:val="auto"/>
        </w:rPr>
      </w:pPr>
    </w:p>
    <w:p w:rsidR="002F6805" w:rsidRDefault="002F6805" w:rsidP="002F6805">
      <w:pPr>
        <w:spacing w:line="360" w:lineRule="auto"/>
        <w:jc w:val="both"/>
        <w:rPr>
          <w:rFonts w:ascii="Garamond" w:hAnsi="Garamond" w:cs="Arial"/>
          <w:color w:val="auto"/>
        </w:rPr>
      </w:pPr>
    </w:p>
    <w:tbl>
      <w:tblPr>
        <w:tblpPr w:leftFromText="180" w:rightFromText="180" w:vertAnchor="page" w:horzAnchor="margin" w:tblpY="2956"/>
        <w:tblW w:w="9355" w:type="dxa"/>
        <w:tblCellMar>
          <w:left w:w="0" w:type="dxa"/>
          <w:right w:w="0" w:type="dxa"/>
        </w:tblCellMar>
        <w:tblLook w:val="00A0"/>
      </w:tblPr>
      <w:tblGrid>
        <w:gridCol w:w="1701"/>
        <w:gridCol w:w="7654"/>
      </w:tblGrid>
      <w:tr w:rsidR="002F6805" w:rsidRPr="000B14DE">
        <w:trPr>
          <w:trHeight w:val="1774"/>
        </w:trPr>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2F6805" w:rsidRPr="000B14DE" w:rsidRDefault="002F6805" w:rsidP="002F6805">
            <w:pPr>
              <w:spacing w:line="360" w:lineRule="auto"/>
              <w:rPr>
                <w:rFonts w:ascii="Garamond" w:hAnsi="Garamond" w:cs="Arial"/>
                <w:b/>
                <w:color w:val="auto"/>
                <w:sz w:val="20"/>
                <w:szCs w:val="20"/>
              </w:rPr>
            </w:pPr>
            <w:r w:rsidRPr="000B14DE">
              <w:rPr>
                <w:rFonts w:ascii="Garamond" w:hAnsi="Garamond" w:cs="Arial"/>
                <w:b/>
                <w:bCs/>
                <w:color w:val="auto"/>
                <w:kern w:val="24"/>
                <w:sz w:val="20"/>
                <w:szCs w:val="20"/>
              </w:rPr>
              <w:t>Exclusion criteria</w:t>
            </w:r>
            <w:r w:rsidRPr="000B14DE">
              <w:rPr>
                <w:rFonts w:ascii="Garamond" w:eastAsia="Times New Roman" w:hAnsi="Garamond"/>
                <w:b/>
                <w:color w:val="auto"/>
                <w:kern w:val="24"/>
                <w:sz w:val="20"/>
                <w:szCs w:val="20"/>
              </w:rPr>
              <w:t xml:space="preserve"> </w:t>
            </w:r>
          </w:p>
        </w:tc>
        <w:tc>
          <w:tcPr>
            <w:tcW w:w="765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2F6805" w:rsidRPr="000B14DE" w:rsidRDefault="002F6805" w:rsidP="002F6805">
            <w:pPr>
              <w:tabs>
                <w:tab w:val="left" w:pos="360"/>
              </w:tabs>
              <w:spacing w:line="360" w:lineRule="auto"/>
              <w:contextualSpacing/>
              <w:rPr>
                <w:rFonts w:ascii="Garamond" w:hAnsi="Garamond" w:cs="Arial"/>
                <w:b/>
                <w:color w:val="auto"/>
                <w:sz w:val="20"/>
                <w:szCs w:val="20"/>
              </w:rPr>
            </w:pPr>
          </w:p>
          <w:p w:rsidR="002F6805" w:rsidRPr="000B14DE" w:rsidRDefault="002F6805" w:rsidP="009F36B7">
            <w:pPr>
              <w:numPr>
                <w:ilvl w:val="0"/>
                <w:numId w:val="29"/>
              </w:numPr>
              <w:tabs>
                <w:tab w:val="left" w:pos="360"/>
              </w:tabs>
              <w:spacing w:line="360" w:lineRule="auto"/>
              <w:contextualSpacing/>
              <w:rPr>
                <w:rFonts w:ascii="Garamond" w:hAnsi="Garamond" w:cs="Arial"/>
                <w:b/>
                <w:color w:val="auto"/>
                <w:sz w:val="20"/>
                <w:szCs w:val="20"/>
              </w:rPr>
            </w:pPr>
            <w:r w:rsidRPr="000B14DE">
              <w:rPr>
                <w:rFonts w:ascii="Garamond" w:hAnsi="Garamond" w:cs="Arial"/>
                <w:b/>
                <w:color w:val="auto"/>
                <w:kern w:val="24"/>
                <w:sz w:val="20"/>
                <w:szCs w:val="20"/>
              </w:rPr>
              <w:t>Other forms of body art e.g. branding, scarification and implants</w:t>
            </w:r>
            <w:r w:rsidRPr="000B14DE">
              <w:rPr>
                <w:rFonts w:ascii="Garamond" w:eastAsia="Times New Roman" w:hAnsi="Garamond"/>
                <w:b/>
                <w:color w:val="auto"/>
                <w:kern w:val="24"/>
                <w:sz w:val="20"/>
                <w:szCs w:val="20"/>
              </w:rPr>
              <w:t xml:space="preserve"> </w:t>
            </w:r>
          </w:p>
          <w:p w:rsidR="002F6805" w:rsidRPr="000B14DE" w:rsidRDefault="002F6805" w:rsidP="009F36B7">
            <w:pPr>
              <w:numPr>
                <w:ilvl w:val="0"/>
                <w:numId w:val="29"/>
              </w:numPr>
              <w:tabs>
                <w:tab w:val="left" w:pos="360"/>
              </w:tabs>
              <w:spacing w:line="360" w:lineRule="auto"/>
              <w:contextualSpacing/>
              <w:rPr>
                <w:rFonts w:ascii="Garamond" w:hAnsi="Garamond" w:cs="Arial"/>
                <w:b/>
                <w:color w:val="auto"/>
                <w:sz w:val="20"/>
                <w:szCs w:val="20"/>
              </w:rPr>
            </w:pPr>
            <w:r w:rsidRPr="000B14DE">
              <w:rPr>
                <w:rFonts w:ascii="Garamond" w:hAnsi="Garamond" w:cs="Arial"/>
                <w:b/>
                <w:color w:val="auto"/>
                <w:kern w:val="24"/>
                <w:sz w:val="20"/>
                <w:szCs w:val="20"/>
              </w:rPr>
              <w:t>Other procedures where the skin is breached e.g. acupuncture</w:t>
            </w:r>
            <w:r w:rsidRPr="000B14DE">
              <w:rPr>
                <w:rFonts w:ascii="Garamond" w:eastAsia="Times New Roman" w:hAnsi="Garamond"/>
                <w:b/>
                <w:color w:val="auto"/>
                <w:kern w:val="24"/>
                <w:sz w:val="20"/>
                <w:szCs w:val="20"/>
              </w:rPr>
              <w:t xml:space="preserve"> </w:t>
            </w:r>
          </w:p>
          <w:p w:rsidR="002F6805" w:rsidRPr="000B14DE" w:rsidRDefault="002F6805" w:rsidP="009F36B7">
            <w:pPr>
              <w:numPr>
                <w:ilvl w:val="0"/>
                <w:numId w:val="29"/>
              </w:numPr>
              <w:tabs>
                <w:tab w:val="left" w:pos="360"/>
              </w:tabs>
              <w:spacing w:line="360" w:lineRule="auto"/>
              <w:contextualSpacing/>
              <w:rPr>
                <w:rFonts w:ascii="Garamond" w:hAnsi="Garamond" w:cs="Arial"/>
                <w:b/>
                <w:color w:val="auto"/>
                <w:sz w:val="20"/>
                <w:szCs w:val="20"/>
              </w:rPr>
            </w:pPr>
            <w:r w:rsidRPr="000B14DE">
              <w:rPr>
                <w:rFonts w:ascii="Garamond" w:hAnsi="Garamond" w:cs="Arial"/>
                <w:b/>
                <w:color w:val="auto"/>
                <w:kern w:val="24"/>
                <w:sz w:val="20"/>
                <w:szCs w:val="20"/>
              </w:rPr>
              <w:t>Papers in languages other than English</w:t>
            </w:r>
          </w:p>
          <w:p w:rsidR="002F6805" w:rsidRPr="000B14DE" w:rsidRDefault="002F6805" w:rsidP="009F36B7">
            <w:pPr>
              <w:numPr>
                <w:ilvl w:val="0"/>
                <w:numId w:val="29"/>
              </w:numPr>
              <w:tabs>
                <w:tab w:val="left" w:pos="360"/>
              </w:tabs>
              <w:spacing w:line="360" w:lineRule="auto"/>
              <w:contextualSpacing/>
              <w:rPr>
                <w:rFonts w:ascii="Garamond" w:hAnsi="Garamond" w:cs="Arial"/>
                <w:b/>
                <w:color w:val="auto"/>
                <w:sz w:val="20"/>
                <w:szCs w:val="20"/>
              </w:rPr>
            </w:pPr>
            <w:r w:rsidRPr="000B14DE">
              <w:rPr>
                <w:rFonts w:ascii="Garamond" w:eastAsia="Times New Roman" w:hAnsi="Garamond"/>
                <w:b/>
                <w:color w:val="auto"/>
                <w:kern w:val="24"/>
                <w:sz w:val="20"/>
                <w:szCs w:val="20"/>
              </w:rPr>
              <w:t xml:space="preserve">Articles that could not be retrieved </w:t>
            </w:r>
          </w:p>
        </w:tc>
      </w:tr>
    </w:tbl>
    <w:tbl>
      <w:tblPr>
        <w:tblpPr w:leftFromText="180" w:rightFromText="180" w:vertAnchor="page" w:horzAnchor="margin" w:tblpY="781"/>
        <w:tblW w:w="9355" w:type="dxa"/>
        <w:tblCellMar>
          <w:left w:w="0" w:type="dxa"/>
          <w:right w:w="0" w:type="dxa"/>
        </w:tblCellMar>
        <w:tblLook w:val="00A0"/>
      </w:tblPr>
      <w:tblGrid>
        <w:gridCol w:w="1701"/>
        <w:gridCol w:w="7654"/>
      </w:tblGrid>
      <w:tr w:rsidR="002F6805" w:rsidRPr="000B14DE">
        <w:trPr>
          <w:trHeight w:val="2097"/>
        </w:trPr>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tcPr>
          <w:p w:rsidR="002F6805" w:rsidRPr="000B14DE" w:rsidRDefault="002F6805" w:rsidP="002F6805">
            <w:pPr>
              <w:spacing w:line="360" w:lineRule="auto"/>
              <w:rPr>
                <w:rFonts w:ascii="Garamond" w:hAnsi="Garamond" w:cs="Arial"/>
                <w:b/>
                <w:color w:val="auto"/>
                <w:sz w:val="20"/>
                <w:szCs w:val="20"/>
              </w:rPr>
            </w:pPr>
            <w:r w:rsidRPr="000B14DE">
              <w:rPr>
                <w:rFonts w:ascii="Garamond" w:hAnsi="Garamond" w:cs="Arial"/>
                <w:b/>
                <w:bCs/>
                <w:color w:val="auto"/>
                <w:kern w:val="24"/>
                <w:sz w:val="20"/>
                <w:szCs w:val="20"/>
              </w:rPr>
              <w:t>Inclusion criteria</w:t>
            </w:r>
            <w:r w:rsidRPr="000B14DE">
              <w:rPr>
                <w:rFonts w:ascii="Garamond" w:eastAsia="Times New Roman" w:hAnsi="Garamond"/>
                <w:b/>
                <w:bCs/>
                <w:color w:val="auto"/>
                <w:kern w:val="24"/>
                <w:sz w:val="20"/>
                <w:szCs w:val="20"/>
              </w:rPr>
              <w:t xml:space="preserve"> </w:t>
            </w:r>
          </w:p>
        </w:tc>
        <w:tc>
          <w:tcPr>
            <w:tcW w:w="765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tcPr>
          <w:p w:rsidR="002F6805" w:rsidRPr="00784823" w:rsidRDefault="002F6805" w:rsidP="00784823">
            <w:pPr>
              <w:pStyle w:val="ListParagraph"/>
              <w:numPr>
                <w:ilvl w:val="0"/>
                <w:numId w:val="28"/>
              </w:numPr>
              <w:tabs>
                <w:tab w:val="left" w:pos="360"/>
              </w:tabs>
              <w:spacing w:line="360" w:lineRule="auto"/>
              <w:ind w:left="853"/>
              <w:rPr>
                <w:rFonts w:ascii="Garamond" w:hAnsi="Garamond" w:cs="Arial"/>
                <w:b/>
                <w:color w:val="auto"/>
                <w:sz w:val="20"/>
                <w:szCs w:val="20"/>
              </w:rPr>
            </w:pPr>
            <w:r w:rsidRPr="00784823">
              <w:rPr>
                <w:rFonts w:ascii="Garamond" w:hAnsi="Garamond" w:cs="Arial"/>
                <w:b/>
                <w:bCs/>
                <w:color w:val="auto"/>
                <w:kern w:val="24"/>
                <w:sz w:val="20"/>
                <w:szCs w:val="20"/>
              </w:rPr>
              <w:t xml:space="preserve">Intervention described meets the definition of Tattooing </w:t>
            </w:r>
          </w:p>
          <w:p w:rsidR="002F6805" w:rsidRPr="000B14DE" w:rsidRDefault="002F6805" w:rsidP="002F6805">
            <w:pPr>
              <w:numPr>
                <w:ilvl w:val="1"/>
                <w:numId w:val="9"/>
              </w:numPr>
              <w:tabs>
                <w:tab w:val="left" w:pos="360"/>
              </w:tabs>
              <w:spacing w:line="360" w:lineRule="auto"/>
              <w:contextualSpacing/>
              <w:rPr>
                <w:rFonts w:ascii="Garamond" w:hAnsi="Garamond" w:cs="Arial"/>
                <w:b/>
                <w:color w:val="auto"/>
                <w:sz w:val="20"/>
                <w:szCs w:val="20"/>
              </w:rPr>
            </w:pPr>
            <w:r w:rsidRPr="000B14DE">
              <w:rPr>
                <w:rFonts w:ascii="Garamond" w:hAnsi="Garamond" w:cs="Arial"/>
                <w:b/>
                <w:bCs/>
                <w:color w:val="auto"/>
                <w:kern w:val="24"/>
                <w:sz w:val="20"/>
                <w:szCs w:val="20"/>
              </w:rPr>
              <w:t>All types of report including experimental and observational studies, case series and case reports, descriptive reviews and guidelines.</w:t>
            </w:r>
            <w:r w:rsidRPr="000B14DE">
              <w:rPr>
                <w:rFonts w:ascii="Garamond" w:eastAsia="Times New Roman" w:hAnsi="Garamond"/>
                <w:b/>
                <w:bCs/>
                <w:color w:val="auto"/>
                <w:kern w:val="24"/>
                <w:sz w:val="20"/>
                <w:szCs w:val="20"/>
              </w:rPr>
              <w:t xml:space="preserve"> </w:t>
            </w:r>
          </w:p>
          <w:p w:rsidR="002F6805" w:rsidRPr="000B14DE" w:rsidRDefault="002F6805" w:rsidP="002F6805">
            <w:pPr>
              <w:numPr>
                <w:ilvl w:val="1"/>
                <w:numId w:val="9"/>
              </w:numPr>
              <w:tabs>
                <w:tab w:val="left" w:pos="360"/>
              </w:tabs>
              <w:spacing w:line="360" w:lineRule="auto"/>
              <w:contextualSpacing/>
              <w:rPr>
                <w:rFonts w:ascii="Garamond" w:hAnsi="Garamond" w:cs="Arial"/>
                <w:b/>
                <w:color w:val="auto"/>
                <w:sz w:val="20"/>
                <w:szCs w:val="20"/>
              </w:rPr>
            </w:pPr>
            <w:r w:rsidRPr="000B14DE">
              <w:rPr>
                <w:rFonts w:ascii="Garamond" w:hAnsi="Garamond" w:cs="Arial"/>
                <w:b/>
                <w:bCs/>
                <w:color w:val="auto"/>
                <w:kern w:val="24"/>
                <w:sz w:val="20"/>
                <w:szCs w:val="20"/>
              </w:rPr>
              <w:t>Articles identified by experts or stakeholders as relevant, published and unpublished.</w:t>
            </w:r>
          </w:p>
          <w:p w:rsidR="002F6805" w:rsidRPr="000B14DE" w:rsidRDefault="002F6805" w:rsidP="002F6805">
            <w:pPr>
              <w:numPr>
                <w:ilvl w:val="1"/>
                <w:numId w:val="9"/>
              </w:numPr>
              <w:tabs>
                <w:tab w:val="left" w:pos="360"/>
              </w:tabs>
              <w:spacing w:line="360" w:lineRule="auto"/>
              <w:contextualSpacing/>
              <w:rPr>
                <w:rFonts w:ascii="Garamond" w:hAnsi="Garamond" w:cs="Arial"/>
                <w:b/>
                <w:color w:val="auto"/>
                <w:szCs w:val="36"/>
              </w:rPr>
            </w:pPr>
            <w:r w:rsidRPr="000B14DE">
              <w:rPr>
                <w:rFonts w:ascii="Garamond" w:eastAsia="Times New Roman" w:hAnsi="Garamond" w:cs="Arial"/>
                <w:b/>
                <w:bCs/>
                <w:color w:val="auto"/>
                <w:kern w:val="24"/>
                <w:sz w:val="20"/>
                <w:szCs w:val="20"/>
              </w:rPr>
              <w:t>Relevant articles on reference list of published and unpublished reports</w:t>
            </w:r>
            <w:r w:rsidRPr="000B14DE">
              <w:rPr>
                <w:rFonts w:ascii="Garamond" w:eastAsia="Times New Roman" w:hAnsi="Garamond"/>
                <w:b/>
                <w:bCs/>
                <w:color w:val="auto"/>
                <w:kern w:val="24"/>
                <w:szCs w:val="22"/>
              </w:rPr>
              <w:t xml:space="preserve"> </w:t>
            </w:r>
          </w:p>
        </w:tc>
      </w:tr>
    </w:tbl>
    <w:p w:rsidR="002F6805" w:rsidRPr="002F6805" w:rsidRDefault="002F6805" w:rsidP="002F6805">
      <w:pPr>
        <w:pStyle w:val="Caption"/>
        <w:spacing w:line="360" w:lineRule="auto"/>
        <w:rPr>
          <w:rFonts w:ascii="Garamond" w:hAnsi="Garamond"/>
          <w:i/>
          <w:color w:val="auto"/>
          <w:sz w:val="24"/>
          <w:szCs w:val="24"/>
        </w:rPr>
      </w:pPr>
      <w:r w:rsidRPr="000B14DE">
        <w:rPr>
          <w:rFonts w:ascii="Garamond" w:hAnsi="Garamond"/>
          <w:i/>
          <w:color w:val="auto"/>
          <w:sz w:val="24"/>
          <w:szCs w:val="24"/>
        </w:rPr>
        <w:t xml:space="preserve">Figure </w:t>
      </w:r>
      <w:r w:rsidR="000A7D09" w:rsidRPr="000B14DE">
        <w:rPr>
          <w:rFonts w:ascii="Garamond" w:hAnsi="Garamond"/>
          <w:i/>
          <w:color w:val="auto"/>
          <w:sz w:val="24"/>
          <w:szCs w:val="24"/>
        </w:rPr>
        <w:fldChar w:fldCharType="begin"/>
      </w:r>
      <w:r w:rsidRPr="000B14DE">
        <w:rPr>
          <w:rFonts w:ascii="Garamond" w:hAnsi="Garamond"/>
          <w:i/>
          <w:color w:val="auto"/>
          <w:sz w:val="24"/>
          <w:szCs w:val="24"/>
        </w:rPr>
        <w:instrText xml:space="preserve"> SEQ Figure \* ARABIC </w:instrText>
      </w:r>
      <w:r w:rsidR="000A7D09" w:rsidRPr="000B14DE">
        <w:rPr>
          <w:rFonts w:ascii="Garamond" w:hAnsi="Garamond"/>
          <w:i/>
          <w:color w:val="auto"/>
          <w:sz w:val="24"/>
          <w:szCs w:val="24"/>
        </w:rPr>
        <w:fldChar w:fldCharType="separate"/>
      </w:r>
      <w:r w:rsidR="00A82BF9">
        <w:rPr>
          <w:rFonts w:ascii="Garamond" w:hAnsi="Garamond"/>
          <w:i/>
          <w:noProof/>
          <w:color w:val="auto"/>
          <w:sz w:val="24"/>
          <w:szCs w:val="24"/>
        </w:rPr>
        <w:t>1</w:t>
      </w:r>
      <w:r w:rsidR="000A7D09" w:rsidRPr="000B14DE">
        <w:rPr>
          <w:rFonts w:ascii="Garamond" w:hAnsi="Garamond"/>
          <w:i/>
          <w:color w:val="auto"/>
          <w:sz w:val="24"/>
          <w:szCs w:val="24"/>
        </w:rPr>
        <w:fldChar w:fldCharType="end"/>
      </w:r>
      <w:r w:rsidRPr="000B14DE">
        <w:rPr>
          <w:rFonts w:ascii="Garamond" w:hAnsi="Garamond"/>
          <w:i/>
          <w:color w:val="auto"/>
          <w:sz w:val="24"/>
          <w:szCs w:val="24"/>
        </w:rPr>
        <w:t>: Exclusion and Inclusion criteria</w:t>
      </w:r>
    </w:p>
    <w:p w:rsidR="00006F4D" w:rsidRPr="000B14DE" w:rsidRDefault="00006F4D" w:rsidP="0085656F">
      <w:pPr>
        <w:pStyle w:val="Heading2"/>
        <w:rPr>
          <w:rFonts w:ascii="Garamond" w:hAnsi="Garamond"/>
        </w:rPr>
      </w:pPr>
      <w:bookmarkStart w:id="10" w:name="_Toc325554581"/>
      <w:r w:rsidRPr="000B14DE">
        <w:rPr>
          <w:rFonts w:ascii="Garamond" w:hAnsi="Garamond"/>
        </w:rPr>
        <w:t>Appraisal</w:t>
      </w:r>
      <w:bookmarkEnd w:id="10"/>
    </w:p>
    <w:p w:rsidR="00006F4D" w:rsidRPr="000B14DE" w:rsidRDefault="00006F4D" w:rsidP="00E61BB2">
      <w:pPr>
        <w:spacing w:line="360" w:lineRule="auto"/>
        <w:jc w:val="both"/>
        <w:rPr>
          <w:rFonts w:ascii="Garamond" w:hAnsi="Garamond" w:cs="Arial"/>
          <w:color w:val="auto"/>
        </w:rPr>
      </w:pPr>
      <w:r w:rsidRPr="000B14DE">
        <w:rPr>
          <w:rFonts w:ascii="Garamond" w:hAnsi="Garamond" w:cs="Arial"/>
          <w:color w:val="auto"/>
        </w:rPr>
        <w:t>A critical appraisal using the Critical Appraisal Skills Programme (CASP</w:t>
      </w:r>
      <w:r w:rsidR="009F36B7">
        <w:rPr>
          <w:rFonts w:ascii="Garamond" w:hAnsi="Garamond" w:cs="Arial"/>
          <w:color w:val="auto"/>
        </w:rPr>
        <w:t>) assessment tool was conducted.</w:t>
      </w:r>
      <w:r w:rsidR="00BB7FD0">
        <w:rPr>
          <w:rFonts w:ascii="Garamond" w:hAnsi="Garamond" w:cs="Arial"/>
          <w:color w:val="auto"/>
        </w:rPr>
        <w:t xml:space="preserve"> The </w:t>
      </w:r>
      <w:r w:rsidR="00587AC0">
        <w:rPr>
          <w:rFonts w:ascii="Garamond" w:hAnsi="Garamond" w:cs="Arial"/>
          <w:color w:val="auto"/>
        </w:rPr>
        <w:t>evidence reviewed were</w:t>
      </w:r>
      <w:r w:rsidRPr="000B14DE">
        <w:rPr>
          <w:rFonts w:ascii="Garamond" w:hAnsi="Garamond" w:cs="Arial"/>
          <w:color w:val="auto"/>
        </w:rPr>
        <w:t xml:space="preserve"> graded for </w:t>
      </w:r>
      <w:r w:rsidR="00587AC0">
        <w:rPr>
          <w:rFonts w:ascii="Garamond" w:hAnsi="Garamond" w:cs="Arial"/>
          <w:color w:val="auto"/>
        </w:rPr>
        <w:t xml:space="preserve">their </w:t>
      </w:r>
      <w:r w:rsidRPr="000B14DE">
        <w:rPr>
          <w:rFonts w:ascii="Garamond" w:hAnsi="Garamond" w:cs="Arial"/>
          <w:color w:val="auto"/>
        </w:rPr>
        <w:t>level of evidence using the Scottish Intercollegiate Grading Network (SIGN), see Table 1.</w:t>
      </w:r>
    </w:p>
    <w:p w:rsidR="00006F4D" w:rsidRPr="000B14DE" w:rsidRDefault="00006F4D" w:rsidP="00E61BB2">
      <w:pPr>
        <w:spacing w:line="360" w:lineRule="auto"/>
        <w:jc w:val="both"/>
        <w:rPr>
          <w:rFonts w:ascii="Garamond" w:hAnsi="Garamond" w:cs="Arial"/>
          <w:color w:val="auto"/>
        </w:rPr>
      </w:pPr>
    </w:p>
    <w:p w:rsidR="00006F4D" w:rsidRPr="000B14DE" w:rsidRDefault="00006F4D" w:rsidP="00E61BB2">
      <w:pPr>
        <w:pStyle w:val="Caption"/>
        <w:spacing w:line="360" w:lineRule="auto"/>
        <w:rPr>
          <w:rFonts w:ascii="Garamond" w:hAnsi="Garamond" w:cs="Arial"/>
          <w:color w:val="auto"/>
          <w:sz w:val="24"/>
          <w:szCs w:val="24"/>
        </w:rPr>
      </w:pPr>
      <w:r w:rsidRPr="000B14DE">
        <w:rPr>
          <w:rFonts w:ascii="Garamond" w:hAnsi="Garamond"/>
          <w:color w:val="auto"/>
          <w:sz w:val="24"/>
          <w:szCs w:val="24"/>
        </w:rPr>
        <w:t xml:space="preserve">Table </w:t>
      </w:r>
      <w:r w:rsidR="000A7D09" w:rsidRPr="000B14DE">
        <w:rPr>
          <w:rFonts w:ascii="Garamond" w:hAnsi="Garamond"/>
          <w:color w:val="auto"/>
          <w:sz w:val="24"/>
          <w:szCs w:val="24"/>
        </w:rPr>
        <w:fldChar w:fldCharType="begin"/>
      </w:r>
      <w:r w:rsidRPr="000B14DE">
        <w:rPr>
          <w:rFonts w:ascii="Garamond" w:hAnsi="Garamond"/>
          <w:color w:val="auto"/>
          <w:sz w:val="24"/>
          <w:szCs w:val="24"/>
        </w:rPr>
        <w:instrText xml:space="preserve"> SEQ Table \* ARABIC </w:instrText>
      </w:r>
      <w:r w:rsidR="000A7D09" w:rsidRPr="000B14DE">
        <w:rPr>
          <w:rFonts w:ascii="Garamond" w:hAnsi="Garamond"/>
          <w:color w:val="auto"/>
          <w:sz w:val="24"/>
          <w:szCs w:val="24"/>
        </w:rPr>
        <w:fldChar w:fldCharType="separate"/>
      </w:r>
      <w:r w:rsidR="00A82BF9">
        <w:rPr>
          <w:rFonts w:ascii="Garamond" w:hAnsi="Garamond"/>
          <w:noProof/>
          <w:color w:val="auto"/>
          <w:sz w:val="24"/>
          <w:szCs w:val="24"/>
        </w:rPr>
        <w:t>1</w:t>
      </w:r>
      <w:r w:rsidR="000A7D09" w:rsidRPr="000B14DE">
        <w:rPr>
          <w:rFonts w:ascii="Garamond" w:hAnsi="Garamond"/>
          <w:color w:val="auto"/>
          <w:sz w:val="24"/>
          <w:szCs w:val="24"/>
        </w:rPr>
        <w:fldChar w:fldCharType="end"/>
      </w:r>
      <w:r w:rsidRPr="000B14DE">
        <w:rPr>
          <w:rFonts w:ascii="Garamond" w:hAnsi="Garamond"/>
          <w:color w:val="auto"/>
          <w:sz w:val="24"/>
          <w:szCs w:val="24"/>
        </w:rPr>
        <w:t>: SIGN Grading System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788"/>
      </w:tblGrid>
      <w:tr w:rsidR="00006F4D" w:rsidRPr="000B14DE">
        <w:tc>
          <w:tcPr>
            <w:tcW w:w="9497" w:type="dxa"/>
            <w:gridSpan w:val="2"/>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SIGN GRADE FOR LEVELS OF EVIDENCE</w:t>
            </w:r>
          </w:p>
        </w:tc>
      </w:tr>
      <w:tr w:rsidR="00006F4D" w:rsidRPr="000B14DE">
        <w:tc>
          <w:tcPr>
            <w:tcW w:w="709"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1++</w:t>
            </w:r>
          </w:p>
        </w:tc>
        <w:tc>
          <w:tcPr>
            <w:tcW w:w="8788"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High quality meta-analyses, systematic reviews of RCTs, or RCTs with a very low risk of bias</w:t>
            </w:r>
          </w:p>
        </w:tc>
      </w:tr>
      <w:tr w:rsidR="00006F4D" w:rsidRPr="000B14DE">
        <w:tc>
          <w:tcPr>
            <w:tcW w:w="709"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1+</w:t>
            </w:r>
          </w:p>
        </w:tc>
        <w:tc>
          <w:tcPr>
            <w:tcW w:w="8788"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Well-conducted meta-analyses, systematic reviews, or RCTs with a low risk of bias</w:t>
            </w:r>
          </w:p>
        </w:tc>
      </w:tr>
      <w:tr w:rsidR="00006F4D" w:rsidRPr="000B14DE">
        <w:tc>
          <w:tcPr>
            <w:tcW w:w="709"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1-</w:t>
            </w:r>
          </w:p>
        </w:tc>
        <w:tc>
          <w:tcPr>
            <w:tcW w:w="8788"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Meta-analyses, systematic reviews, or RCTs with a high risk of bias</w:t>
            </w:r>
          </w:p>
        </w:tc>
      </w:tr>
      <w:tr w:rsidR="00006F4D" w:rsidRPr="000B14DE">
        <w:tc>
          <w:tcPr>
            <w:tcW w:w="709"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2++</w:t>
            </w:r>
          </w:p>
        </w:tc>
        <w:tc>
          <w:tcPr>
            <w:tcW w:w="8788"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High quality systematic reviews of case control or cohort or studies</w:t>
            </w:r>
          </w:p>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High quality case control or cohort studies with a very low risk of confounding or bias and a high probability that the relationship is causal</w:t>
            </w:r>
          </w:p>
        </w:tc>
      </w:tr>
      <w:tr w:rsidR="00006F4D" w:rsidRPr="000B14DE">
        <w:tc>
          <w:tcPr>
            <w:tcW w:w="709"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2+</w:t>
            </w:r>
          </w:p>
        </w:tc>
        <w:tc>
          <w:tcPr>
            <w:tcW w:w="8788"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Well-conducted case control or cohort studies with a low risk of confounding or bias and a moderate probability that the relationship is causal</w:t>
            </w:r>
          </w:p>
        </w:tc>
      </w:tr>
      <w:tr w:rsidR="00006F4D" w:rsidRPr="000B14DE">
        <w:tc>
          <w:tcPr>
            <w:tcW w:w="709"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2-</w:t>
            </w:r>
          </w:p>
        </w:tc>
        <w:tc>
          <w:tcPr>
            <w:tcW w:w="8788"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Case control or cohort studies with a high risk of confounding or bias and a significant risk that the relationship is not causal</w:t>
            </w:r>
          </w:p>
        </w:tc>
      </w:tr>
      <w:tr w:rsidR="00006F4D" w:rsidRPr="000B14DE">
        <w:tc>
          <w:tcPr>
            <w:tcW w:w="709"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3</w:t>
            </w:r>
          </w:p>
        </w:tc>
        <w:tc>
          <w:tcPr>
            <w:tcW w:w="8788"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Non-analytic studies, e.g. case reports, case series</w:t>
            </w:r>
          </w:p>
        </w:tc>
      </w:tr>
      <w:tr w:rsidR="00006F4D" w:rsidRPr="000B14DE">
        <w:tc>
          <w:tcPr>
            <w:tcW w:w="709"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4</w:t>
            </w:r>
          </w:p>
        </w:tc>
        <w:tc>
          <w:tcPr>
            <w:tcW w:w="8788" w:type="dxa"/>
          </w:tcPr>
          <w:p w:rsidR="00006F4D" w:rsidRPr="000B14DE" w:rsidRDefault="00006F4D" w:rsidP="002950E4">
            <w:pPr>
              <w:spacing w:line="360" w:lineRule="auto"/>
              <w:jc w:val="both"/>
              <w:rPr>
                <w:rFonts w:ascii="Garamond" w:hAnsi="Garamond"/>
                <w:color w:val="auto"/>
                <w:sz w:val="22"/>
                <w:szCs w:val="22"/>
              </w:rPr>
            </w:pPr>
            <w:r w:rsidRPr="000B14DE">
              <w:rPr>
                <w:rFonts w:ascii="Garamond" w:hAnsi="Garamond"/>
                <w:color w:val="auto"/>
                <w:sz w:val="22"/>
                <w:szCs w:val="22"/>
              </w:rPr>
              <w:t>Expert opinion</w:t>
            </w:r>
          </w:p>
        </w:tc>
      </w:tr>
    </w:tbl>
    <w:p w:rsidR="00006F4D" w:rsidRPr="000B14DE" w:rsidRDefault="00006F4D" w:rsidP="00E61BB2">
      <w:pPr>
        <w:spacing w:line="360" w:lineRule="auto"/>
        <w:jc w:val="both"/>
        <w:rPr>
          <w:rFonts w:ascii="Garamond" w:hAnsi="Garamond"/>
          <w:color w:val="auto"/>
        </w:rPr>
      </w:pPr>
      <w:r w:rsidRPr="000B14DE">
        <w:rPr>
          <w:rFonts w:ascii="Garamond" w:hAnsi="Garamond"/>
          <w:color w:val="auto"/>
        </w:rPr>
        <w:tab/>
      </w:r>
    </w:p>
    <w:p w:rsidR="00006F4D" w:rsidRPr="000B14DE" w:rsidRDefault="00006F4D" w:rsidP="000B14DE">
      <w:pPr>
        <w:pStyle w:val="Heading1"/>
        <w:spacing w:line="480" w:lineRule="auto"/>
        <w:rPr>
          <w:rFonts w:ascii="Garamond" w:hAnsi="Garamond"/>
        </w:rPr>
      </w:pPr>
      <w:bookmarkStart w:id="11" w:name="_Toc325554582"/>
      <w:r w:rsidRPr="000B14DE">
        <w:rPr>
          <w:rFonts w:ascii="Garamond" w:hAnsi="Garamond"/>
        </w:rPr>
        <w:t>Results</w:t>
      </w:r>
      <w:bookmarkEnd w:id="11"/>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There were scarcity of good quality and </w:t>
      </w:r>
      <w:r w:rsidR="00F63485" w:rsidRPr="000B14DE">
        <w:rPr>
          <w:rFonts w:ascii="Garamond" w:hAnsi="Garamond"/>
          <w:color w:val="auto"/>
        </w:rPr>
        <w:t>high-level</w:t>
      </w:r>
      <w:r w:rsidRPr="000B14DE">
        <w:rPr>
          <w:rFonts w:ascii="Garamond" w:hAnsi="Garamond"/>
          <w:color w:val="auto"/>
        </w:rPr>
        <w:t xml:space="preserve"> </w:t>
      </w:r>
      <w:r w:rsidR="00F63485" w:rsidRPr="000B14DE">
        <w:rPr>
          <w:rFonts w:ascii="Garamond" w:hAnsi="Garamond"/>
          <w:color w:val="auto"/>
        </w:rPr>
        <w:t>evidence;</w:t>
      </w:r>
      <w:r w:rsidRPr="000B14DE">
        <w:rPr>
          <w:rFonts w:ascii="Garamond" w:hAnsi="Garamond"/>
          <w:color w:val="auto"/>
        </w:rPr>
        <w:t xml:space="preserve"> however, effort was made to identify available studies. Although most of the studies identified were weak they were able to inform existing knowledge and </w:t>
      </w:r>
      <w:r w:rsidR="00F63485">
        <w:rPr>
          <w:rFonts w:ascii="Garamond" w:hAnsi="Garamond"/>
          <w:color w:val="auto"/>
        </w:rPr>
        <w:t xml:space="preserve">they also </w:t>
      </w:r>
      <w:r w:rsidRPr="000B14DE">
        <w:rPr>
          <w:rFonts w:ascii="Garamond" w:hAnsi="Garamond"/>
          <w:color w:val="auto"/>
        </w:rPr>
        <w:t xml:space="preserve">highlight the need for further research work. </w:t>
      </w:r>
    </w:p>
    <w:p w:rsidR="00006F4D" w:rsidRPr="000B14DE" w:rsidRDefault="00006F4D" w:rsidP="00B079F8">
      <w:pPr>
        <w:spacing w:line="360" w:lineRule="auto"/>
        <w:jc w:val="both"/>
        <w:rPr>
          <w:rFonts w:ascii="Garamond" w:hAnsi="Garamond" w:cs="Arial"/>
          <w:color w:val="auto"/>
        </w:rPr>
      </w:pPr>
      <w:r w:rsidRPr="000B14DE">
        <w:rPr>
          <w:rFonts w:ascii="Garamond" w:hAnsi="Garamond" w:cs="Arial"/>
          <w:color w:val="auto"/>
        </w:rPr>
        <w:t>Initially six hundred and fourteen (614) potential articles were identified. Following the application of inclusion and exclusion criteria, forty-</w:t>
      </w:r>
      <w:r w:rsidR="007B0CD4" w:rsidRPr="000B14DE">
        <w:rPr>
          <w:rFonts w:ascii="Garamond" w:hAnsi="Garamond" w:cs="Arial"/>
          <w:color w:val="auto"/>
        </w:rPr>
        <w:t>six</w:t>
      </w:r>
      <w:r w:rsidRPr="000B14DE">
        <w:rPr>
          <w:rFonts w:ascii="Garamond" w:hAnsi="Garamond" w:cs="Arial"/>
          <w:color w:val="auto"/>
        </w:rPr>
        <w:t xml:space="preserve"> (</w:t>
      </w:r>
      <w:r w:rsidR="007B0CD4" w:rsidRPr="000B14DE">
        <w:rPr>
          <w:rFonts w:ascii="Garamond" w:hAnsi="Garamond" w:cs="Arial"/>
          <w:color w:val="auto"/>
        </w:rPr>
        <w:t>46</w:t>
      </w:r>
      <w:r w:rsidRPr="000B14DE">
        <w:rPr>
          <w:rFonts w:ascii="Garamond" w:hAnsi="Garamond" w:cs="Arial"/>
          <w:color w:val="auto"/>
        </w:rPr>
        <w:t>) a</w:t>
      </w:r>
      <w:r w:rsidR="00F63485">
        <w:rPr>
          <w:rFonts w:ascii="Garamond" w:hAnsi="Garamond" w:cs="Arial"/>
          <w:color w:val="auto"/>
        </w:rPr>
        <w:t>rticles were finally reviewed. The i</w:t>
      </w:r>
      <w:r w:rsidRPr="000B14DE">
        <w:rPr>
          <w:rFonts w:ascii="Garamond" w:hAnsi="Garamond" w:cs="Arial"/>
          <w:color w:val="auto"/>
        </w:rPr>
        <w:t xml:space="preserve">dentified </w:t>
      </w:r>
      <w:r w:rsidR="00FA0D9E" w:rsidRPr="000B14DE">
        <w:rPr>
          <w:rFonts w:ascii="Garamond" w:hAnsi="Garamond" w:cs="Arial"/>
          <w:color w:val="auto"/>
        </w:rPr>
        <w:t xml:space="preserve">published </w:t>
      </w:r>
      <w:r w:rsidR="007B0CD4" w:rsidRPr="000B14DE">
        <w:rPr>
          <w:rFonts w:ascii="Garamond" w:hAnsi="Garamond" w:cs="Arial"/>
          <w:color w:val="auto"/>
        </w:rPr>
        <w:t xml:space="preserve">and unpublished </w:t>
      </w:r>
      <w:r w:rsidR="00FA0D9E" w:rsidRPr="000B14DE">
        <w:rPr>
          <w:rFonts w:ascii="Garamond" w:hAnsi="Garamond" w:cs="Arial"/>
          <w:color w:val="auto"/>
        </w:rPr>
        <w:t xml:space="preserve">papers </w:t>
      </w:r>
      <w:r w:rsidRPr="000B14DE">
        <w:rPr>
          <w:rFonts w:ascii="Garamond" w:hAnsi="Garamond" w:cs="Arial"/>
          <w:color w:val="auto"/>
        </w:rPr>
        <w:t>included systematic reviews (2), cohort study (1), case control studies (3), observational studies (23), reviews (5)</w:t>
      </w:r>
      <w:r w:rsidR="007B0CD4" w:rsidRPr="000B14DE">
        <w:rPr>
          <w:rFonts w:ascii="Garamond" w:hAnsi="Garamond" w:cs="Arial"/>
          <w:color w:val="auto"/>
        </w:rPr>
        <w:t xml:space="preserve"> and</w:t>
      </w:r>
      <w:r w:rsidR="003E023D">
        <w:rPr>
          <w:rFonts w:ascii="Garamond" w:hAnsi="Garamond" w:cs="Arial"/>
          <w:color w:val="auto"/>
        </w:rPr>
        <w:t xml:space="preserve"> guidelines (12). S</w:t>
      </w:r>
      <w:r w:rsidRPr="000B14DE">
        <w:rPr>
          <w:rFonts w:ascii="Garamond" w:hAnsi="Garamond" w:cs="Arial"/>
          <w:color w:val="auto"/>
        </w:rPr>
        <w:t xml:space="preserve">ee Appendix </w:t>
      </w:r>
      <w:r w:rsidR="007B0CD4" w:rsidRPr="000B14DE">
        <w:rPr>
          <w:rFonts w:ascii="Garamond" w:hAnsi="Garamond" w:cs="Arial"/>
          <w:color w:val="auto"/>
        </w:rPr>
        <w:t>3</w:t>
      </w:r>
      <w:r w:rsidRPr="000B14DE">
        <w:rPr>
          <w:rFonts w:ascii="Garamond" w:hAnsi="Garamond" w:cs="Arial"/>
          <w:color w:val="auto"/>
        </w:rPr>
        <w:t xml:space="preserve">.  </w:t>
      </w:r>
    </w:p>
    <w:p w:rsidR="00006F4D" w:rsidRPr="000B14DE" w:rsidRDefault="00006F4D" w:rsidP="00E61BB2">
      <w:pPr>
        <w:spacing w:line="360" w:lineRule="auto"/>
        <w:rPr>
          <w:rFonts w:ascii="Garamond" w:hAnsi="Garamond"/>
          <w:b/>
          <w:color w:val="auto"/>
          <w:sz w:val="28"/>
          <w:szCs w:val="28"/>
          <w:lang w:eastAsia="en-US"/>
        </w:rPr>
        <w:sectPr w:rsidR="00006F4D" w:rsidRPr="000B14D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40" w:right="1077" w:bottom="1440" w:left="1077" w:header="709" w:footer="709" w:gutter="0"/>
          <w:cols w:space="708"/>
          <w:docGrid w:linePitch="360"/>
        </w:sectPr>
      </w:pPr>
    </w:p>
    <w:p w:rsidR="00006F4D" w:rsidRPr="000B14DE" w:rsidRDefault="00006F4D" w:rsidP="00B079F8">
      <w:pPr>
        <w:pStyle w:val="Caption"/>
        <w:rPr>
          <w:rFonts w:ascii="Garamond" w:hAnsi="Garamond"/>
          <w:color w:val="auto"/>
          <w:sz w:val="24"/>
          <w:szCs w:val="24"/>
        </w:rPr>
      </w:pPr>
      <w:r w:rsidRPr="000B14DE">
        <w:rPr>
          <w:rFonts w:ascii="Garamond" w:hAnsi="Garamond"/>
          <w:color w:val="auto"/>
          <w:sz w:val="24"/>
          <w:szCs w:val="24"/>
        </w:rPr>
        <w:t xml:space="preserve">Table </w:t>
      </w:r>
      <w:r w:rsidR="000A7D09" w:rsidRPr="000B14DE">
        <w:rPr>
          <w:rFonts w:ascii="Garamond" w:hAnsi="Garamond"/>
          <w:color w:val="auto"/>
          <w:sz w:val="24"/>
          <w:szCs w:val="24"/>
        </w:rPr>
        <w:fldChar w:fldCharType="begin"/>
      </w:r>
      <w:r w:rsidRPr="000B14DE">
        <w:rPr>
          <w:rFonts w:ascii="Garamond" w:hAnsi="Garamond"/>
          <w:color w:val="auto"/>
          <w:sz w:val="24"/>
          <w:szCs w:val="24"/>
        </w:rPr>
        <w:instrText xml:space="preserve"> SEQ Table \* ARABIC </w:instrText>
      </w:r>
      <w:r w:rsidR="000A7D09" w:rsidRPr="000B14DE">
        <w:rPr>
          <w:rFonts w:ascii="Garamond" w:hAnsi="Garamond"/>
          <w:color w:val="auto"/>
          <w:sz w:val="24"/>
          <w:szCs w:val="24"/>
        </w:rPr>
        <w:fldChar w:fldCharType="separate"/>
      </w:r>
      <w:r w:rsidR="00A82BF9">
        <w:rPr>
          <w:rFonts w:ascii="Garamond" w:hAnsi="Garamond"/>
          <w:noProof/>
          <w:color w:val="auto"/>
          <w:sz w:val="24"/>
          <w:szCs w:val="24"/>
        </w:rPr>
        <w:t>2</w:t>
      </w:r>
      <w:r w:rsidR="000A7D09" w:rsidRPr="000B14DE">
        <w:rPr>
          <w:rFonts w:ascii="Garamond" w:hAnsi="Garamond"/>
          <w:color w:val="auto"/>
          <w:sz w:val="24"/>
          <w:szCs w:val="24"/>
        </w:rPr>
        <w:fldChar w:fldCharType="end"/>
      </w:r>
      <w:r w:rsidRPr="000B14DE">
        <w:rPr>
          <w:rFonts w:ascii="Garamond" w:hAnsi="Garamond"/>
          <w:color w:val="auto"/>
          <w:sz w:val="24"/>
          <w:szCs w:val="24"/>
        </w:rPr>
        <w:t>: Summary of Literature retrieved and appraised</w:t>
      </w:r>
    </w:p>
    <w:tbl>
      <w:tblPr>
        <w:tblpPr w:leftFromText="180" w:rightFromText="180" w:vertAnchor="page" w:horzAnchor="margin" w:tblpX="108" w:tblpY="2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851"/>
        <w:gridCol w:w="992"/>
        <w:gridCol w:w="1418"/>
        <w:gridCol w:w="1842"/>
        <w:gridCol w:w="1560"/>
        <w:gridCol w:w="3543"/>
        <w:gridCol w:w="1560"/>
        <w:gridCol w:w="1166"/>
      </w:tblGrid>
      <w:tr w:rsidR="00006F4D" w:rsidRPr="000B14DE">
        <w:trPr>
          <w:trHeight w:val="416"/>
        </w:trPr>
        <w:tc>
          <w:tcPr>
            <w:tcW w:w="14066" w:type="dxa"/>
            <w:gridSpan w:val="9"/>
          </w:tcPr>
          <w:p w:rsidR="00006F4D" w:rsidRPr="000B14DE" w:rsidRDefault="00006F4D" w:rsidP="002950E4">
            <w:pPr>
              <w:spacing w:line="360" w:lineRule="auto"/>
              <w:rPr>
                <w:rFonts w:ascii="Garamond" w:hAnsi="Garamond"/>
                <w:b/>
                <w:color w:val="auto"/>
                <w:sz w:val="22"/>
                <w:lang w:eastAsia="en-US"/>
              </w:rPr>
            </w:pPr>
            <w:r w:rsidRPr="000B14DE">
              <w:rPr>
                <w:rFonts w:ascii="Garamond" w:hAnsi="Garamond"/>
                <w:b/>
                <w:color w:val="auto"/>
                <w:sz w:val="22"/>
                <w:lang w:eastAsia="en-US"/>
              </w:rPr>
              <w:t>Epidemiology of Tattooing</w:t>
            </w:r>
          </w:p>
        </w:tc>
      </w:tr>
      <w:tr w:rsidR="00006F4D" w:rsidRPr="000B14DE">
        <w:trPr>
          <w:trHeight w:val="416"/>
        </w:trPr>
        <w:tc>
          <w:tcPr>
            <w:tcW w:w="1134"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Study and Date</w:t>
            </w:r>
          </w:p>
        </w:tc>
        <w:tc>
          <w:tcPr>
            <w:tcW w:w="851"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 xml:space="preserve">When </w:t>
            </w:r>
          </w:p>
        </w:tc>
        <w:tc>
          <w:tcPr>
            <w:tcW w:w="992"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 xml:space="preserve">Settings </w:t>
            </w:r>
          </w:p>
        </w:tc>
        <w:tc>
          <w:tcPr>
            <w:tcW w:w="1418"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Sample</w:t>
            </w:r>
          </w:p>
        </w:tc>
        <w:tc>
          <w:tcPr>
            <w:tcW w:w="1842"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Method</w:t>
            </w:r>
          </w:p>
        </w:tc>
        <w:tc>
          <w:tcPr>
            <w:tcW w:w="1560"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Prevalence</w:t>
            </w:r>
          </w:p>
        </w:tc>
        <w:tc>
          <w:tcPr>
            <w:tcW w:w="3543"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Other Findings</w:t>
            </w:r>
          </w:p>
        </w:tc>
        <w:tc>
          <w:tcPr>
            <w:tcW w:w="1560"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Comments</w:t>
            </w:r>
          </w:p>
        </w:tc>
        <w:tc>
          <w:tcPr>
            <w:tcW w:w="1166"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Level of Evidence</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Abiona T.C. </w:t>
            </w:r>
            <w:r w:rsidRPr="000B14DE">
              <w:rPr>
                <w:rFonts w:ascii="Garamond" w:hAnsi="Garamond"/>
                <w:i/>
                <w:color w:val="auto"/>
                <w:sz w:val="20"/>
                <w:szCs w:val="20"/>
                <w:lang w:eastAsia="en-US"/>
              </w:rPr>
              <w:t>et al,</w:t>
            </w:r>
            <w:r w:rsidRPr="000B14DE">
              <w:rPr>
                <w:rFonts w:ascii="Garamond" w:hAnsi="Garamond"/>
                <w:color w:val="auto"/>
                <w:sz w:val="20"/>
                <w:szCs w:val="20"/>
                <w:lang w:eastAsia="en-US"/>
              </w:rPr>
              <w:t xml:space="preserve"> </w:t>
            </w:r>
            <w:r w:rsidRPr="000B14DE">
              <w:rPr>
                <w:rFonts w:ascii="Garamond" w:hAnsi="Garamond"/>
                <w:i/>
                <w:color w:val="auto"/>
                <w:sz w:val="20"/>
                <w:szCs w:val="20"/>
                <w:lang w:eastAsia="en-US"/>
              </w:rPr>
              <w:t>2010</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2007</w:t>
            </w:r>
          </w:p>
          <w:p w:rsidR="00006F4D" w:rsidRPr="000B14DE" w:rsidRDefault="00006F4D" w:rsidP="002950E4">
            <w:pPr>
              <w:spacing w:line="360" w:lineRule="auto"/>
              <w:rPr>
                <w:rFonts w:ascii="Garamond" w:hAnsi="Garamond"/>
                <w:color w:val="auto"/>
                <w:sz w:val="20"/>
                <w:szCs w:val="20"/>
                <w:lang w:eastAsia="en-US"/>
              </w:rPr>
            </w:pP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17 state prisons in Illinois, USA.</w:t>
            </w:r>
          </w:p>
          <w:p w:rsidR="00006F4D" w:rsidRPr="000B14DE" w:rsidRDefault="00006F4D" w:rsidP="002950E4">
            <w:pPr>
              <w:spacing w:line="360" w:lineRule="auto"/>
              <w:rPr>
                <w:rFonts w:ascii="Garamond" w:hAnsi="Garamond"/>
                <w:color w:val="auto"/>
                <w:sz w:val="20"/>
                <w:szCs w:val="20"/>
                <w:lang w:eastAsia="en-US"/>
              </w:rPr>
            </w:pP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1819 (1293 men and 526 women) inmates participated in the survey</w:t>
            </w:r>
          </w:p>
          <w:p w:rsidR="00006F4D" w:rsidRPr="000B14DE" w:rsidRDefault="00006F4D" w:rsidP="002950E4">
            <w:pPr>
              <w:spacing w:line="360" w:lineRule="auto"/>
              <w:rPr>
                <w:rFonts w:ascii="Garamond" w:hAnsi="Garamond"/>
                <w:color w:val="auto"/>
                <w:sz w:val="20"/>
                <w:szCs w:val="20"/>
                <w:lang w:eastAsia="en-US"/>
              </w:rPr>
            </w:pP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Mixed method-cross sectional study and focus group- randomly selected inmates and convenience sample for focus group. </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67%  had tattoos, and 60% had body piercings</w:t>
            </w:r>
          </w:p>
          <w:p w:rsidR="00006F4D" w:rsidRPr="000B14DE" w:rsidRDefault="00006F4D" w:rsidP="002950E4">
            <w:pPr>
              <w:spacing w:line="360" w:lineRule="auto"/>
              <w:rPr>
                <w:rFonts w:ascii="Garamond" w:hAnsi="Garamond"/>
                <w:color w:val="auto"/>
                <w:sz w:val="20"/>
                <w:szCs w:val="20"/>
                <w:lang w:eastAsia="en-US"/>
              </w:rPr>
            </w:pP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Factors associated with tattooing in prison include incarceration for 1 year or longer and having had sex in prison among both men and women; non- heterosexual identity for women only; and for men, being 30-39 years old; incarcerated 4 or more times; having a history of sharing needles, multiple vaginal sex partners, and inconsistent condom use in the 6 months before arrest.</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16% received tattoos during the current incarceration, 80% by amateur tattooist.</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No history of tattoo at previous incarceration</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p w:rsidR="00006F4D" w:rsidRPr="000B14DE" w:rsidRDefault="00006F4D" w:rsidP="002950E4">
            <w:pPr>
              <w:spacing w:line="360" w:lineRule="auto"/>
              <w:rPr>
                <w:rFonts w:ascii="Garamond" w:hAnsi="Garamond"/>
                <w:color w:val="auto"/>
                <w:sz w:val="20"/>
                <w:szCs w:val="20"/>
                <w:lang w:eastAsia="en-US"/>
              </w:rPr>
            </w:pP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Armstrong M.L. and Murphy K.P. </w:t>
            </w:r>
            <w:r w:rsidRPr="000B14DE">
              <w:rPr>
                <w:rFonts w:ascii="Garamond" w:hAnsi="Garamond"/>
                <w:i/>
                <w:color w:val="auto"/>
                <w:sz w:val="20"/>
                <w:szCs w:val="20"/>
                <w:lang w:eastAsia="en-US"/>
              </w:rPr>
              <w:t>1997</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8 school sites in 8 states, USA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3,650 surveys distributed and 2,101 response. All adolescents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10% tattooed adolescents</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55% interested in having a tattoo. </w:t>
            </w:r>
          </w:p>
          <w:p w:rsidR="00006F4D"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57% (n = 121) of those tattooed claim to be "risk takers"; 14% (n=30) reported short-term irritations, such as redness, dryness, or tender skin following tattooing.</w:t>
            </w:r>
            <w:r w:rsidRPr="000B14DE">
              <w:rPr>
                <w:rFonts w:ascii="Garamond" w:hAnsi="Garamond"/>
                <w:color w:val="auto"/>
                <w:sz w:val="20"/>
                <w:szCs w:val="20"/>
                <w:lang w:eastAsia="en-US"/>
              </w:rPr>
              <w:br/>
              <w:t xml:space="preserve">No blood-borne diseases were reported but 68% (n = 145) cite </w:t>
            </w:r>
            <w:r w:rsidRPr="000B14DE">
              <w:rPr>
                <w:rFonts w:ascii="Garamond" w:hAnsi="Garamond"/>
                <w:color w:val="auto"/>
                <w:sz w:val="20"/>
                <w:szCs w:val="20"/>
                <w:highlight w:val="yellow"/>
                <w:lang w:eastAsia="en-US"/>
              </w:rPr>
              <w:t>small to large amounts of bleeding during the procedure</w:t>
            </w:r>
            <w:r w:rsidRPr="000B14DE">
              <w:rPr>
                <w:rFonts w:ascii="Garamond" w:hAnsi="Garamond"/>
                <w:color w:val="auto"/>
                <w:sz w:val="20"/>
                <w:szCs w:val="20"/>
                <w:lang w:eastAsia="en-US"/>
              </w:rPr>
              <w:t xml:space="preserve"> so the potential exists.54% (n = 94) reported amateur tattoos.</w:t>
            </w:r>
          </w:p>
          <w:p w:rsidR="002F6805" w:rsidRPr="000B14DE" w:rsidRDefault="002F6805"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Selection bias, recall bias</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Armstrong M.L. </w:t>
            </w:r>
            <w:r w:rsidRPr="000B14DE">
              <w:rPr>
                <w:rFonts w:ascii="Garamond" w:hAnsi="Garamond"/>
                <w:i/>
                <w:color w:val="auto"/>
                <w:sz w:val="20"/>
                <w:szCs w:val="20"/>
                <w:lang w:eastAsia="en-US"/>
              </w:rPr>
              <w:t>et al,</w:t>
            </w:r>
            <w:r w:rsidRPr="000B14DE">
              <w:rPr>
                <w:rFonts w:ascii="Garamond" w:hAnsi="Garamond"/>
                <w:color w:val="auto"/>
                <w:sz w:val="20"/>
                <w:szCs w:val="20"/>
                <w:lang w:eastAsia="en-US"/>
              </w:rPr>
              <w:t xml:space="preserve"> </w:t>
            </w:r>
            <w:r w:rsidRPr="000B14DE">
              <w:rPr>
                <w:rFonts w:ascii="Garamond" w:hAnsi="Garamond"/>
                <w:i/>
                <w:color w:val="auto"/>
                <w:sz w:val="20"/>
                <w:szCs w:val="20"/>
                <w:lang w:eastAsia="en-US"/>
              </w:rPr>
              <w:t>2000</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w:t>
            </w:r>
          </w:p>
        </w:tc>
        <w:tc>
          <w:tcPr>
            <w:tcW w:w="992" w:type="dxa"/>
          </w:tcPr>
          <w:p w:rsidR="00006F4D" w:rsidRPr="000B14DE" w:rsidRDefault="00006F4D" w:rsidP="00595282">
            <w:pPr>
              <w:spacing w:line="360" w:lineRule="auto"/>
              <w:ind w:left="-65" w:right="-119"/>
              <w:rPr>
                <w:rFonts w:ascii="Garamond" w:hAnsi="Garamond"/>
                <w:color w:val="auto"/>
                <w:sz w:val="20"/>
                <w:szCs w:val="20"/>
                <w:lang w:eastAsia="en-US"/>
              </w:rPr>
            </w:pPr>
            <w:r w:rsidRPr="000B14DE">
              <w:rPr>
                <w:rFonts w:ascii="Garamond" w:hAnsi="Garamond"/>
                <w:color w:val="auto"/>
                <w:sz w:val="20"/>
                <w:szCs w:val="20"/>
                <w:lang w:eastAsia="en-US"/>
              </w:rPr>
              <w:t>A Midwestern military base-recruit and advanced individual trained armed officers</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1894 questionnaires administered, 1835 (97%) responded</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36% of 1835 had tattoos</w:t>
            </w:r>
          </w:p>
          <w:p w:rsidR="00006F4D" w:rsidRPr="000B14DE" w:rsidRDefault="00006F4D" w:rsidP="002950E4">
            <w:pPr>
              <w:spacing w:line="360" w:lineRule="auto"/>
              <w:rPr>
                <w:rFonts w:ascii="Garamond" w:hAnsi="Garamond"/>
                <w:color w:val="auto"/>
                <w:sz w:val="20"/>
                <w:szCs w:val="20"/>
                <w:lang w:eastAsia="en-US"/>
              </w:rPr>
            </w:pPr>
          </w:p>
        </w:tc>
        <w:tc>
          <w:tcPr>
            <w:tcW w:w="3543" w:type="dxa"/>
          </w:tcPr>
          <w:p w:rsidR="00006F4D" w:rsidRPr="000B14DE" w:rsidRDefault="000D0F4E"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48% of the soldiers were serious/very serious about getting a tattoo, 31% stated there were no reasons preventing them from having a tattoo. 22% had three or more tattoos. </w:t>
            </w:r>
            <w:r w:rsidR="00097CFB" w:rsidRPr="000B14DE">
              <w:rPr>
                <w:rFonts w:ascii="Garamond" w:hAnsi="Garamond"/>
                <w:color w:val="auto"/>
                <w:sz w:val="20"/>
                <w:szCs w:val="20"/>
                <w:lang w:eastAsia="en-US"/>
              </w:rPr>
              <w:t xml:space="preserve">64% entered the military with the tattoos. 15% had been under influence of alcohol and/or drugs. 22% used amateur tattoo. </w:t>
            </w:r>
          </w:p>
          <w:p w:rsidR="00097CFB" w:rsidRPr="000B14DE" w:rsidRDefault="00097CFB"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76% reported small to moderate bleeding during procedure. 14 had skin irritation, 4 dye allergies, 3 photosensitivity, 2 skin infection. 7 sought tattooist advice and only 3 sought health professional advice.</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Selection bias, on random/convenient selection, ?power calculation, recall bias</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Armstrong M.L. </w:t>
            </w:r>
            <w:r w:rsidRPr="000B14DE">
              <w:rPr>
                <w:rFonts w:ascii="Garamond" w:hAnsi="Garamond"/>
                <w:i/>
                <w:color w:val="auto"/>
                <w:sz w:val="20"/>
                <w:szCs w:val="20"/>
                <w:lang w:eastAsia="en-US"/>
              </w:rPr>
              <w:t>et al,</w:t>
            </w:r>
            <w:r w:rsidRPr="000B14DE">
              <w:rPr>
                <w:rFonts w:ascii="Garamond" w:hAnsi="Garamond"/>
                <w:color w:val="auto"/>
                <w:sz w:val="20"/>
                <w:szCs w:val="20"/>
                <w:lang w:eastAsia="en-US"/>
              </w:rPr>
              <w:t xml:space="preserve"> </w:t>
            </w:r>
            <w:r w:rsidRPr="000B14DE">
              <w:rPr>
                <w:rFonts w:ascii="Garamond" w:hAnsi="Garamond"/>
                <w:i/>
                <w:color w:val="auto"/>
                <w:sz w:val="20"/>
                <w:szCs w:val="20"/>
                <w:lang w:eastAsia="en-US"/>
              </w:rPr>
              <w:t>2000</w:t>
            </w:r>
          </w:p>
        </w:tc>
        <w:tc>
          <w:tcPr>
            <w:tcW w:w="851" w:type="dxa"/>
          </w:tcPr>
          <w:p w:rsidR="00006F4D" w:rsidRPr="000B14DE" w:rsidRDefault="00006F4D" w:rsidP="002950E4">
            <w:pPr>
              <w:spacing w:line="360" w:lineRule="auto"/>
              <w:rPr>
                <w:rFonts w:ascii="Garamond" w:hAnsi="Garamond"/>
                <w:color w:val="auto"/>
                <w:sz w:val="20"/>
                <w:szCs w:val="20"/>
                <w:lang w:eastAsia="en-US"/>
              </w:rPr>
            </w:pP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Prenatal clinic in South western US</w:t>
            </w:r>
            <w:r w:rsidR="00D20A17">
              <w:rPr>
                <w:rFonts w:ascii="Garamond" w:hAnsi="Garamond"/>
                <w:color w:val="auto"/>
                <w:sz w:val="20"/>
                <w:szCs w:val="20"/>
                <w:lang w:eastAsia="en-US"/>
              </w:rPr>
              <w:t>A</w:t>
            </w:r>
            <w:r w:rsidRPr="000B14DE">
              <w:rPr>
                <w:rFonts w:ascii="Garamond" w:hAnsi="Garamond"/>
                <w:color w:val="auto"/>
                <w:sz w:val="20"/>
                <w:szCs w:val="20"/>
                <w:lang w:eastAsia="en-US"/>
              </w:rPr>
              <w:t xml:space="preserve">. </w:t>
            </w:r>
          </w:p>
          <w:p w:rsidR="00006F4D" w:rsidRPr="000B14DE" w:rsidRDefault="00006F4D" w:rsidP="002950E4">
            <w:pPr>
              <w:spacing w:line="360" w:lineRule="auto"/>
              <w:rPr>
                <w:rFonts w:ascii="Garamond" w:hAnsi="Garamond"/>
                <w:color w:val="auto"/>
                <w:sz w:val="20"/>
                <w:szCs w:val="20"/>
                <w:lang w:eastAsia="en-US"/>
              </w:rPr>
            </w:pP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41 Adolescents, 54% age 16-17 years, 90% single. 33% reported as risk takers. </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12.2% of 41 had tattoo.</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36.6% of the dads had tattoo.</w:t>
            </w:r>
          </w:p>
          <w:p w:rsidR="00006F4D" w:rsidRPr="000B14DE" w:rsidRDefault="00006F4D" w:rsidP="002950E4">
            <w:pPr>
              <w:spacing w:line="360" w:lineRule="auto"/>
              <w:rPr>
                <w:rFonts w:ascii="Garamond" w:hAnsi="Garamond"/>
                <w:color w:val="auto"/>
                <w:sz w:val="20"/>
                <w:szCs w:val="20"/>
                <w:lang w:eastAsia="en-US"/>
              </w:rPr>
            </w:pP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51.2% interested in tattoo. 48% will refrain due to fea</w:t>
            </w:r>
            <w:r w:rsidR="00D20A17">
              <w:rPr>
                <w:rFonts w:ascii="Garamond" w:hAnsi="Garamond"/>
                <w:color w:val="auto"/>
                <w:sz w:val="20"/>
                <w:szCs w:val="20"/>
                <w:lang w:eastAsia="en-US"/>
              </w:rPr>
              <w:t>r of AIDS</w:t>
            </w:r>
            <w:r w:rsidRPr="000B14DE">
              <w:rPr>
                <w:rFonts w:ascii="Garamond" w:hAnsi="Garamond"/>
                <w:color w:val="auto"/>
                <w:sz w:val="20"/>
                <w:szCs w:val="20"/>
                <w:lang w:eastAsia="en-US"/>
              </w:rPr>
              <w:t xml:space="preserve">. </w:t>
            </w:r>
            <w:r w:rsidR="00097CFB" w:rsidRPr="000B14DE">
              <w:rPr>
                <w:rFonts w:ascii="Garamond" w:hAnsi="Garamond"/>
                <w:color w:val="auto"/>
                <w:sz w:val="20"/>
                <w:szCs w:val="20"/>
                <w:lang w:eastAsia="en-US"/>
              </w:rPr>
              <w:t xml:space="preserve">All were </w:t>
            </w:r>
            <w:r w:rsidR="009B535F" w:rsidRPr="000B14DE">
              <w:rPr>
                <w:rFonts w:ascii="Garamond" w:hAnsi="Garamond"/>
                <w:color w:val="auto"/>
                <w:sz w:val="20"/>
                <w:szCs w:val="20"/>
                <w:lang w:eastAsia="en-US"/>
              </w:rPr>
              <w:t>impregnated</w:t>
            </w:r>
            <w:r w:rsidR="00097CFB" w:rsidRPr="000B14DE">
              <w:rPr>
                <w:rFonts w:ascii="Garamond" w:hAnsi="Garamond"/>
                <w:color w:val="auto"/>
                <w:sz w:val="20"/>
                <w:szCs w:val="20"/>
                <w:lang w:eastAsia="en-US"/>
              </w:rPr>
              <w:t xml:space="preserve"> by a tattooed person. </w:t>
            </w:r>
            <w:r w:rsidR="009B535F" w:rsidRPr="000B14DE">
              <w:rPr>
                <w:rFonts w:ascii="Garamond" w:hAnsi="Garamond"/>
                <w:color w:val="auto"/>
                <w:sz w:val="20"/>
                <w:szCs w:val="20"/>
                <w:lang w:eastAsia="en-US"/>
              </w:rPr>
              <w:t xml:space="preserve">Most had tattoo in an amateur setting. </w:t>
            </w:r>
            <w:r w:rsidR="00DC558C" w:rsidRPr="000B14DE">
              <w:rPr>
                <w:rFonts w:ascii="Garamond" w:hAnsi="Garamond"/>
                <w:color w:val="auto"/>
                <w:sz w:val="20"/>
                <w:szCs w:val="20"/>
                <w:lang w:eastAsia="en-US"/>
              </w:rPr>
              <w:t xml:space="preserve">Most impulsive decision to tattoo </w:t>
            </w:r>
            <w:r w:rsidR="00D20A17" w:rsidRPr="000B14DE">
              <w:rPr>
                <w:rFonts w:ascii="Garamond" w:hAnsi="Garamond"/>
                <w:color w:val="auto"/>
                <w:sz w:val="20"/>
                <w:szCs w:val="20"/>
                <w:lang w:eastAsia="en-US"/>
              </w:rPr>
              <w:t>was</w:t>
            </w:r>
            <w:r w:rsidR="00DC558C" w:rsidRPr="000B14DE">
              <w:rPr>
                <w:rFonts w:ascii="Garamond" w:hAnsi="Garamond"/>
                <w:color w:val="auto"/>
                <w:sz w:val="20"/>
                <w:szCs w:val="20"/>
                <w:lang w:eastAsia="en-US"/>
              </w:rPr>
              <w:t xml:space="preserve"> at age 14-16 years. </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Small sample size, convenience sampling. </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Laumann A.E. and Derick A.J. </w:t>
            </w:r>
            <w:r w:rsidRPr="000B14DE">
              <w:rPr>
                <w:rFonts w:ascii="Garamond" w:hAnsi="Garamond"/>
                <w:i/>
                <w:color w:val="auto"/>
                <w:sz w:val="20"/>
                <w:szCs w:val="20"/>
                <w:lang w:eastAsia="en-US"/>
              </w:rPr>
              <w:t>2006</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2004</w:t>
            </w:r>
          </w:p>
        </w:tc>
        <w:tc>
          <w:tcPr>
            <w:tcW w:w="992" w:type="dxa"/>
          </w:tcPr>
          <w:p w:rsidR="00006F4D" w:rsidRPr="000B14DE" w:rsidRDefault="00006F4D" w:rsidP="00595282">
            <w:pPr>
              <w:spacing w:line="360" w:lineRule="auto"/>
              <w:ind w:left="-65" w:right="-119"/>
              <w:rPr>
                <w:rFonts w:ascii="Garamond" w:hAnsi="Garamond"/>
                <w:color w:val="auto"/>
                <w:sz w:val="20"/>
                <w:szCs w:val="20"/>
                <w:lang w:eastAsia="en-US"/>
              </w:rPr>
            </w:pPr>
            <w:r w:rsidRPr="000B14DE">
              <w:rPr>
                <w:rFonts w:ascii="Garamond" w:hAnsi="Garamond"/>
                <w:color w:val="auto"/>
                <w:sz w:val="20"/>
                <w:szCs w:val="20"/>
                <w:lang w:eastAsia="en-US"/>
              </w:rPr>
              <w:t>Household settings in USA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Random digit dialling technology was used to obtain a national probability sample of 253 women and 247 men.</w:t>
            </w:r>
            <w:r w:rsidRPr="000B14DE">
              <w:rPr>
                <w:rFonts w:ascii="Garamond" w:hAnsi="Garamond"/>
                <w:color w:val="auto"/>
                <w:sz w:val="22"/>
                <w:szCs w:val="22"/>
                <w:lang w:eastAsia="en-US"/>
              </w:rPr>
              <w:t xml:space="preserve"> </w:t>
            </w:r>
            <w:r w:rsidRPr="000B14DE">
              <w:rPr>
                <w:rFonts w:ascii="Garamond" w:hAnsi="Garamond"/>
                <w:color w:val="auto"/>
                <w:sz w:val="20"/>
                <w:szCs w:val="20"/>
                <w:lang w:eastAsia="en-US"/>
              </w:rPr>
              <w:t>18 to 50 years of age</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24% had tattoos and 14% had body piercings- 500 people</w:t>
            </w:r>
          </w:p>
        </w:tc>
        <w:tc>
          <w:tcPr>
            <w:tcW w:w="3543" w:type="dxa"/>
          </w:tcPr>
          <w:p w:rsidR="00006F4D" w:rsidRPr="000B14DE" w:rsidRDefault="00DC558C"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21% of non-tattooed had considered having a tattoo.Most had tattoo on their arm. Tattoo individuals more likely to have relative/friends who were tattooed. Those tattooed were more likely to have spent 3 or more days in prison.9% had tattoo under the influence of alcohol and/or drugs. 26% , especially those younger than 18,had tattoo by an amateur. </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w:t>
            </w:r>
          </w:p>
          <w:p w:rsidR="00DC558C" w:rsidRPr="000B14DE" w:rsidRDefault="00DC558C"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33% response rate. Use of trained interviewers.</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Cegolon, L. </w:t>
            </w:r>
            <w:r w:rsidRPr="000B14DE">
              <w:rPr>
                <w:rFonts w:ascii="Garamond" w:hAnsi="Garamond"/>
                <w:i/>
                <w:color w:val="auto"/>
                <w:sz w:val="20"/>
                <w:szCs w:val="20"/>
                <w:lang w:eastAsia="en-US"/>
              </w:rPr>
              <w:t>et al, 2010</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2007</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Six (6) public secondary schools from each of 7 Provinces of the Veneto Region, Italy</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4,524 students were surveyed but 4,277 interviewees (95%) were suitable for the analysis. Adolescents aged 14 to 22 years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6% had tattoo  and 20% body piercing</w:t>
            </w:r>
          </w:p>
          <w:p w:rsidR="00006F4D" w:rsidRPr="000B14DE" w:rsidRDefault="00006F4D" w:rsidP="002950E4">
            <w:pPr>
              <w:spacing w:line="360" w:lineRule="auto"/>
              <w:rPr>
                <w:rFonts w:ascii="Garamond" w:hAnsi="Garamond"/>
                <w:color w:val="auto"/>
                <w:sz w:val="20"/>
                <w:szCs w:val="20"/>
                <w:lang w:eastAsia="en-US"/>
              </w:rPr>
            </w:pP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Interviewees less likely to be conscious of the health risks associated with body modifications, and those with tattoos were </w:t>
            </w:r>
            <w:r w:rsidRPr="000B14DE">
              <w:rPr>
                <w:rFonts w:ascii="Garamond" w:hAnsi="Garamond"/>
                <w:color w:val="auto"/>
                <w:sz w:val="20"/>
                <w:szCs w:val="20"/>
                <w:highlight w:val="yellow"/>
                <w:lang w:eastAsia="en-US"/>
              </w:rPr>
              <w:t>less knowledgeable about the infection risk</w:t>
            </w:r>
            <w:r w:rsidRPr="000B14DE">
              <w:rPr>
                <w:rFonts w:ascii="Garamond" w:hAnsi="Garamond"/>
                <w:color w:val="auto"/>
                <w:sz w:val="20"/>
                <w:szCs w:val="20"/>
                <w:lang w:eastAsia="en-US"/>
              </w:rPr>
              <w:t xml:space="preserve"> (OR = 0.60; 0.42, 0.86) and less likely to refer to a professional health care provider in case of medical complication (OR = 0.68; 0.48, 0.95). Students with piercings were </w:t>
            </w:r>
            <w:r w:rsidRPr="000B14DE">
              <w:rPr>
                <w:rFonts w:ascii="Garamond" w:hAnsi="Garamond"/>
                <w:color w:val="auto"/>
                <w:sz w:val="20"/>
                <w:szCs w:val="20"/>
                <w:highlight w:val="yellow"/>
                <w:lang w:eastAsia="en-US"/>
              </w:rPr>
              <w:t>less likely to refer to a certified practitioner for receiving body art</w:t>
            </w:r>
            <w:r w:rsidRPr="000B14DE">
              <w:rPr>
                <w:rFonts w:ascii="Garamond" w:hAnsi="Garamond"/>
                <w:color w:val="auto"/>
                <w:sz w:val="20"/>
                <w:szCs w:val="20"/>
                <w:lang w:eastAsia="en-US"/>
              </w:rPr>
              <w:t xml:space="preserve"> (OR = 0.62; 0.50, 0.77) or therapy for medical complications (OR = 0.37; 0.29, 0.46).</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Recall bias, selection bias- convenient sample. </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Deschesnes M. </w:t>
            </w:r>
            <w:r w:rsidRPr="000B14DE">
              <w:rPr>
                <w:rFonts w:ascii="Garamond" w:hAnsi="Garamond"/>
                <w:i/>
                <w:color w:val="auto"/>
                <w:sz w:val="20"/>
                <w:szCs w:val="20"/>
                <w:lang w:eastAsia="en-US"/>
              </w:rPr>
              <w:t>et al 2006.</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2002</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23 high schools in Quebec, Canada.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High school students, age range 12-18. 2145 of 2180 (81%) students data  analysed</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8% tattooed and 27% body pierced </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Boys more likely than girls to patronise amateur tattooist. 57% had their tattoos or piercing before 15 years old-boys more like than girls before age 12. Most had for aesthetic reasons. Most tattooing conducted by a professional, 90% received aftercare instructions.</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 convenience sampling</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Harris Interactive </w:t>
            </w:r>
            <w:r w:rsidRPr="000B14DE">
              <w:rPr>
                <w:rFonts w:ascii="Garamond" w:hAnsi="Garamond"/>
                <w:i/>
                <w:color w:val="auto"/>
                <w:sz w:val="20"/>
                <w:szCs w:val="20"/>
                <w:lang w:eastAsia="en-US"/>
              </w:rPr>
              <w:t>2012</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2012</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General population online survey in USA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2106 Adults, aged18 and over.</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21% have tattoo</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21% of 2,016 adults surveyed have tattoos, which is up from the 16% and 14% who reported having a tattoo in 2003 and 2008, respectively.</w:t>
            </w:r>
            <w:r w:rsidRPr="000B14DE">
              <w:rPr>
                <w:rFonts w:ascii="Garamond" w:hAnsi="Garamond"/>
                <w:color w:val="auto"/>
                <w:sz w:val="22"/>
                <w:szCs w:val="22"/>
                <w:lang w:eastAsia="en-US"/>
              </w:rPr>
              <w:t xml:space="preserve"> </w:t>
            </w:r>
            <w:r w:rsidRPr="000B14DE">
              <w:rPr>
                <w:rFonts w:ascii="Garamond" w:hAnsi="Garamond"/>
                <w:color w:val="auto"/>
                <w:sz w:val="20"/>
                <w:szCs w:val="20"/>
                <w:lang w:eastAsia="en-US"/>
              </w:rPr>
              <w:t xml:space="preserve">Adults </w:t>
            </w:r>
            <w:r w:rsidRPr="000B14DE">
              <w:rPr>
                <w:rFonts w:ascii="Garamond" w:hAnsi="Garamond"/>
                <w:color w:val="auto"/>
                <w:sz w:val="20"/>
                <w:szCs w:val="20"/>
                <w:highlight w:val="yellow"/>
                <w:lang w:eastAsia="en-US"/>
              </w:rPr>
              <w:t>aged 30-39 are most likely to have a tattoo</w:t>
            </w:r>
            <w:r w:rsidRPr="000B14DE">
              <w:rPr>
                <w:rFonts w:ascii="Garamond" w:hAnsi="Garamond"/>
                <w:color w:val="auto"/>
                <w:sz w:val="20"/>
                <w:szCs w:val="20"/>
                <w:lang w:eastAsia="en-US"/>
              </w:rPr>
              <w:t xml:space="preserve"> (38%) compared to both those younger (30% of those 25-29 and 22% of those 18-24) and older (27% of those 40-49, 11% of those 50-64 and just 5% of those 65 and older). Women are slightly more likely than men, for the first time since this question was first asked, to have a tattoo (now 23% versus 19% in 2003/08).</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Selection bias-non random/convenient selection,? Power calculation, recall bias. Age, sex, race/ethnicity, education, region and household income were weighted.</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val="fr-FR" w:eastAsia="en-US"/>
              </w:rPr>
            </w:pPr>
            <w:r w:rsidRPr="000B14DE">
              <w:rPr>
                <w:rFonts w:ascii="Garamond" w:hAnsi="Garamond"/>
                <w:color w:val="auto"/>
                <w:sz w:val="20"/>
                <w:szCs w:val="20"/>
                <w:lang w:val="fr-FR" w:eastAsia="en-US"/>
              </w:rPr>
              <w:t xml:space="preserve">Benjamins, L.J. </w:t>
            </w:r>
            <w:r w:rsidRPr="000B14DE">
              <w:rPr>
                <w:rFonts w:ascii="Garamond" w:hAnsi="Garamond"/>
                <w:i/>
                <w:color w:val="auto"/>
                <w:sz w:val="20"/>
                <w:szCs w:val="20"/>
                <w:lang w:val="fr-FR" w:eastAsia="en-US"/>
              </w:rPr>
              <w:t>et al, 2006</w:t>
            </w:r>
            <w:r w:rsidRPr="000B14DE">
              <w:rPr>
                <w:rFonts w:ascii="Garamond" w:hAnsi="Garamond"/>
                <w:color w:val="auto"/>
                <w:sz w:val="20"/>
                <w:szCs w:val="20"/>
                <w:lang w:val="fr-FR" w:eastAsia="en-US"/>
              </w:rPr>
              <w:t xml:space="preserve">  </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2004</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Four urban high schools in Texas, USA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997 minority high school students. Inner-city</w:t>
            </w:r>
            <w:r w:rsidRPr="000B14DE">
              <w:rPr>
                <w:rFonts w:ascii="Garamond" w:hAnsi="Garamond"/>
                <w:color w:val="auto"/>
                <w:sz w:val="20"/>
                <w:szCs w:val="20"/>
                <w:lang w:eastAsia="en-US"/>
              </w:rPr>
              <w:br/>
              <w:t>black and Hispanic students from</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8.6% (86) have at least one tattoo AND  8.0%(80) have at least one body piercing</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About 20% with tattoos and 60% with piercings said they would not repeat the experience. About 20% of the teens who obtained their art from a professional were not asked for proof of parental consent.</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 selection bias- convenient sample</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Makkai,T. And McAllister I. </w:t>
            </w:r>
            <w:r w:rsidRPr="000B14DE">
              <w:rPr>
                <w:rFonts w:ascii="Garamond" w:hAnsi="Garamond"/>
                <w:i/>
                <w:color w:val="auto"/>
                <w:sz w:val="20"/>
                <w:szCs w:val="20"/>
                <w:lang w:eastAsia="en-US"/>
              </w:rPr>
              <w:t>2001</w:t>
            </w:r>
            <w:r w:rsidRPr="000B14DE">
              <w:rPr>
                <w:rFonts w:ascii="Garamond" w:hAnsi="Garamond"/>
                <w:color w:val="auto"/>
                <w:sz w:val="20"/>
                <w:szCs w:val="20"/>
                <w:lang w:eastAsia="en-US"/>
              </w:rPr>
              <w:t>.</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2001</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Australian Households</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9489 Household members aged 14 and above. Randomised stratified sampling</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10% tattooed</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More male than female.</w:t>
            </w:r>
            <w:r w:rsidRPr="000B14DE">
              <w:rPr>
                <w:rFonts w:ascii="Garamond" w:hAnsi="Garamond"/>
                <w:color w:val="auto"/>
                <w:sz w:val="22"/>
                <w:szCs w:val="22"/>
                <w:lang w:eastAsia="en-US"/>
              </w:rPr>
              <w:t xml:space="preserve"> </w:t>
            </w:r>
            <w:r w:rsidRPr="000B14DE">
              <w:rPr>
                <w:rFonts w:ascii="Garamond" w:hAnsi="Garamond"/>
                <w:color w:val="auto"/>
                <w:sz w:val="20"/>
                <w:szCs w:val="20"/>
                <w:lang w:eastAsia="en-US"/>
              </w:rPr>
              <w:t xml:space="preserve">About 10% under the </w:t>
            </w:r>
            <w:r w:rsidRPr="000B14DE">
              <w:rPr>
                <w:rFonts w:ascii="Garamond" w:hAnsi="Garamond"/>
                <w:color w:val="auto"/>
                <w:sz w:val="20"/>
                <w:szCs w:val="20"/>
                <w:highlight w:val="yellow"/>
                <w:lang w:eastAsia="en-US"/>
              </w:rPr>
              <w:t>influence of alcohol or drugs during tattoo.</w:t>
            </w:r>
            <w:r w:rsidRPr="000B14DE">
              <w:rPr>
                <w:rFonts w:ascii="Garamond" w:hAnsi="Garamond"/>
                <w:color w:val="auto"/>
                <w:sz w:val="20"/>
                <w:szCs w:val="20"/>
                <w:lang w:eastAsia="en-US"/>
              </w:rPr>
              <w:t xml:space="preserve"> Prevalence highest amongst under-25.</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val="fr-FR" w:eastAsia="en-US"/>
              </w:rPr>
            </w:pPr>
            <w:r w:rsidRPr="000B14DE">
              <w:rPr>
                <w:rFonts w:ascii="Garamond" w:hAnsi="Garamond"/>
                <w:color w:val="auto"/>
                <w:sz w:val="20"/>
                <w:szCs w:val="20"/>
                <w:lang w:val="fr-FR" w:eastAsia="en-US"/>
              </w:rPr>
              <w:t xml:space="preserve">Mayers L.B. </w:t>
            </w:r>
            <w:r w:rsidRPr="000B14DE">
              <w:rPr>
                <w:rFonts w:ascii="Garamond" w:hAnsi="Garamond"/>
                <w:i/>
                <w:color w:val="auto"/>
                <w:sz w:val="20"/>
                <w:szCs w:val="20"/>
                <w:lang w:val="fr-FR" w:eastAsia="en-US"/>
              </w:rPr>
              <w:t>et al</w:t>
            </w:r>
            <w:r w:rsidRPr="000B14DE">
              <w:rPr>
                <w:rFonts w:ascii="Garamond" w:hAnsi="Garamond"/>
                <w:color w:val="auto"/>
                <w:sz w:val="20"/>
                <w:szCs w:val="20"/>
                <w:lang w:val="fr-FR" w:eastAsia="en-US"/>
              </w:rPr>
              <w:t xml:space="preserve"> </w:t>
            </w:r>
            <w:r w:rsidRPr="000B14DE">
              <w:rPr>
                <w:rFonts w:ascii="Garamond" w:hAnsi="Garamond"/>
                <w:i/>
                <w:color w:val="auto"/>
                <w:sz w:val="20"/>
                <w:szCs w:val="20"/>
                <w:lang w:val="fr-FR" w:eastAsia="en-US"/>
              </w:rPr>
              <w:t>2002.</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2001</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University, US</w:t>
            </w:r>
            <w:r w:rsidR="00B90B3E">
              <w:rPr>
                <w:rFonts w:ascii="Garamond" w:hAnsi="Garamond"/>
                <w:color w:val="auto"/>
                <w:sz w:val="20"/>
                <w:szCs w:val="20"/>
                <w:lang w:eastAsia="en-US"/>
              </w:rPr>
              <w:t>A</w:t>
            </w:r>
          </w:p>
        </w:tc>
        <w:tc>
          <w:tcPr>
            <w:tcW w:w="1418" w:type="dxa"/>
          </w:tcPr>
          <w:p w:rsidR="00006F4D"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454 students (218 men and 236 women). Randomly selected students</w:t>
            </w:r>
          </w:p>
          <w:p w:rsidR="002F6805" w:rsidRPr="000B14DE" w:rsidRDefault="002F6805" w:rsidP="002950E4">
            <w:pPr>
              <w:spacing w:line="360" w:lineRule="auto"/>
              <w:rPr>
                <w:rFonts w:ascii="Garamond" w:hAnsi="Garamond"/>
                <w:color w:val="auto"/>
                <w:sz w:val="20"/>
                <w:szCs w:val="20"/>
                <w:lang w:eastAsia="en-US"/>
              </w:rPr>
            </w:pP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23% had tattoos and 51% had body piercing</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Most popular sites were the arms and hands for men and the back for women. </w:t>
            </w:r>
            <w:r w:rsidRPr="000B14DE">
              <w:rPr>
                <w:rFonts w:ascii="Garamond" w:hAnsi="Garamond"/>
                <w:color w:val="auto"/>
                <w:sz w:val="20"/>
                <w:szCs w:val="20"/>
                <w:highlight w:val="yellow"/>
                <w:lang w:eastAsia="en-US"/>
              </w:rPr>
              <w:t>Complications reported were scars and keloid</w:t>
            </w:r>
            <w:r w:rsidRPr="000B14DE">
              <w:rPr>
                <w:rFonts w:ascii="Garamond" w:hAnsi="Garamond"/>
                <w:color w:val="auto"/>
                <w:sz w:val="20"/>
                <w:szCs w:val="20"/>
                <w:lang w:eastAsia="en-US"/>
              </w:rPr>
              <w:t>.</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Sidoti,E. </w:t>
            </w:r>
            <w:r w:rsidRPr="000B14DE">
              <w:rPr>
                <w:rFonts w:ascii="Garamond" w:hAnsi="Garamond"/>
                <w:i/>
                <w:color w:val="auto"/>
                <w:sz w:val="20"/>
                <w:szCs w:val="20"/>
                <w:lang w:eastAsia="en-US"/>
              </w:rPr>
              <w:t>et al, 2010.</w:t>
            </w:r>
            <w:r w:rsidRPr="000B14DE">
              <w:rPr>
                <w:rFonts w:ascii="Garamond" w:hAnsi="Garamond"/>
                <w:color w:val="auto"/>
                <w:sz w:val="20"/>
                <w:szCs w:val="20"/>
                <w:lang w:eastAsia="en-US"/>
              </w:rPr>
              <w:t xml:space="preserve"> </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University students</w:t>
            </w:r>
          </w:p>
        </w:tc>
        <w:tc>
          <w:tcPr>
            <w:tcW w:w="1418" w:type="dxa"/>
          </w:tcPr>
          <w:p w:rsidR="002F6805"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570 from humanistic sciences, (Law, Science of Education, Arts) and 630 from scientific areas, (Chemistry, Mathematics, Physics, Architecture). Survey respondents were 655 males, (55.0%)</w:t>
            </w:r>
            <w:r w:rsidRPr="000B14DE">
              <w:rPr>
                <w:rFonts w:ascii="Garamond" w:hAnsi="Garamond"/>
                <w:color w:val="auto"/>
                <w:sz w:val="20"/>
                <w:szCs w:val="20"/>
                <w:lang w:eastAsia="en-US"/>
              </w:rPr>
              <w:br/>
              <w:t>and 545 females (45.0%).</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32% had tattoo- 19% humanistic dept and 42.9% scientific dept</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Unemployment, lack of partnership and family attitude towards body art, were positively associated with students’ body art. Body art was strictly </w:t>
            </w:r>
            <w:r w:rsidRPr="000B14DE">
              <w:rPr>
                <w:rFonts w:ascii="Garamond" w:hAnsi="Garamond"/>
                <w:color w:val="auto"/>
                <w:sz w:val="20"/>
                <w:szCs w:val="20"/>
                <w:highlight w:val="yellow"/>
                <w:lang w:eastAsia="en-US"/>
              </w:rPr>
              <w:t>associated with different unhealthy lifestyles, such as drug, alcohol and tobacco consumption, problem gambling an</w:t>
            </w:r>
            <w:r w:rsidRPr="000B14DE">
              <w:rPr>
                <w:rFonts w:ascii="Garamond" w:hAnsi="Garamond"/>
                <w:color w:val="auto"/>
                <w:sz w:val="20"/>
                <w:szCs w:val="20"/>
                <w:lang w:eastAsia="en-US"/>
              </w:rPr>
              <w:t>d sexual activity before 18 years of age. A relevant part of students considered piercing and tattooing as having no consequences for infections and/or disease.</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Convenience samples (some humanistic and scientific depts.) but randomly selected cross sectional study.</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 selection bias- convenient sample</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Stirn A. </w:t>
            </w:r>
            <w:r w:rsidRPr="000B14DE">
              <w:rPr>
                <w:rFonts w:ascii="Garamond" w:hAnsi="Garamond"/>
                <w:i/>
                <w:color w:val="auto"/>
                <w:sz w:val="20"/>
                <w:szCs w:val="20"/>
                <w:lang w:eastAsia="en-US"/>
              </w:rPr>
              <w:t>et al, 2006</w:t>
            </w:r>
            <w:r w:rsidRPr="000B14DE">
              <w:rPr>
                <w:rFonts w:ascii="Garamond" w:hAnsi="Garamond"/>
                <w:color w:val="auto"/>
                <w:sz w:val="20"/>
                <w:szCs w:val="20"/>
                <w:lang w:eastAsia="en-US"/>
              </w:rPr>
              <w:t xml:space="preserve"> </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2005</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German Households</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2043 respondents from 210 sample points in Germany. 14–93 years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8.5% have tattoo and 6.5% have body pierced</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Group of individuals aged between 14 and 44 years, </w:t>
            </w:r>
            <w:r w:rsidRPr="000B14DE">
              <w:rPr>
                <w:rFonts w:ascii="Garamond" w:hAnsi="Garamond"/>
                <w:color w:val="auto"/>
                <w:sz w:val="20"/>
                <w:szCs w:val="20"/>
                <w:highlight w:val="yellow"/>
                <w:lang w:eastAsia="en-US"/>
              </w:rPr>
              <w:t>unemployment</w:t>
            </w:r>
            <w:r w:rsidRPr="000B14DE">
              <w:rPr>
                <w:rFonts w:ascii="Garamond" w:hAnsi="Garamond"/>
                <w:color w:val="auto"/>
                <w:sz w:val="20"/>
                <w:szCs w:val="20"/>
                <w:lang w:eastAsia="en-US"/>
              </w:rPr>
              <w:t xml:space="preserve"> and no affiliation to a church are positively correlated with tattooing, tattooing is significantly </w:t>
            </w:r>
            <w:r w:rsidRPr="000B14DE">
              <w:rPr>
                <w:rFonts w:ascii="Garamond" w:hAnsi="Garamond"/>
                <w:color w:val="auto"/>
                <w:sz w:val="20"/>
                <w:szCs w:val="20"/>
                <w:highlight w:val="yellow"/>
                <w:lang w:eastAsia="en-US"/>
              </w:rPr>
              <w:t>correlated with the perception of reduced mental health</w:t>
            </w:r>
            <w:r w:rsidRPr="000B14DE">
              <w:rPr>
                <w:rFonts w:ascii="Garamond" w:hAnsi="Garamond"/>
                <w:color w:val="auto"/>
                <w:sz w:val="20"/>
                <w:szCs w:val="20"/>
                <w:lang w:eastAsia="en-US"/>
              </w:rPr>
              <w:t xml:space="preserve">, and both tattooing and body piercing are correlated with significantly </w:t>
            </w:r>
            <w:r w:rsidRPr="000B14DE">
              <w:rPr>
                <w:rFonts w:ascii="Garamond" w:hAnsi="Garamond"/>
                <w:color w:val="auto"/>
                <w:sz w:val="20"/>
                <w:szCs w:val="20"/>
                <w:highlight w:val="yellow"/>
                <w:lang w:eastAsia="en-US"/>
              </w:rPr>
              <w:t>increased sensation-seeking behaviour.</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Power calculation, recall bias.  64% response rate.</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4066" w:type="dxa"/>
            <w:gridSpan w:val="9"/>
          </w:tcPr>
          <w:p w:rsidR="00006F4D" w:rsidRPr="000B14DE" w:rsidRDefault="00006F4D" w:rsidP="002950E4">
            <w:pPr>
              <w:spacing w:line="360" w:lineRule="auto"/>
              <w:rPr>
                <w:rFonts w:ascii="Garamond" w:hAnsi="Garamond"/>
                <w:b/>
                <w:color w:val="auto"/>
                <w:sz w:val="22"/>
                <w:lang w:eastAsia="en-US"/>
              </w:rPr>
            </w:pPr>
            <w:r w:rsidRPr="000B14DE">
              <w:rPr>
                <w:rFonts w:ascii="Garamond" w:hAnsi="Garamond"/>
                <w:b/>
                <w:color w:val="auto"/>
                <w:sz w:val="22"/>
                <w:lang w:eastAsia="en-US"/>
              </w:rPr>
              <w:t>Complications of Tattooing</w:t>
            </w:r>
          </w:p>
        </w:tc>
      </w:tr>
      <w:tr w:rsidR="00006F4D" w:rsidRPr="000B14DE">
        <w:tc>
          <w:tcPr>
            <w:tcW w:w="1134"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Study and Date</w:t>
            </w:r>
          </w:p>
        </w:tc>
        <w:tc>
          <w:tcPr>
            <w:tcW w:w="851"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 xml:space="preserve">When </w:t>
            </w:r>
          </w:p>
        </w:tc>
        <w:tc>
          <w:tcPr>
            <w:tcW w:w="992"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 xml:space="preserve">Settings </w:t>
            </w:r>
          </w:p>
        </w:tc>
        <w:tc>
          <w:tcPr>
            <w:tcW w:w="1418"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Sample</w:t>
            </w:r>
          </w:p>
        </w:tc>
        <w:tc>
          <w:tcPr>
            <w:tcW w:w="1842"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Method</w:t>
            </w:r>
          </w:p>
        </w:tc>
        <w:tc>
          <w:tcPr>
            <w:tcW w:w="1560"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Complications</w:t>
            </w:r>
          </w:p>
        </w:tc>
        <w:tc>
          <w:tcPr>
            <w:tcW w:w="3543"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Frequency of complications and Other Findings</w:t>
            </w:r>
          </w:p>
        </w:tc>
        <w:tc>
          <w:tcPr>
            <w:tcW w:w="1560"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Comments</w:t>
            </w:r>
          </w:p>
        </w:tc>
        <w:tc>
          <w:tcPr>
            <w:tcW w:w="1166" w:type="dxa"/>
          </w:tcPr>
          <w:p w:rsidR="00006F4D" w:rsidRPr="000B14DE" w:rsidRDefault="00006F4D" w:rsidP="002950E4">
            <w:pPr>
              <w:spacing w:line="360" w:lineRule="auto"/>
              <w:rPr>
                <w:rFonts w:ascii="Garamond" w:hAnsi="Garamond"/>
                <w:b/>
                <w:color w:val="auto"/>
                <w:sz w:val="20"/>
                <w:szCs w:val="20"/>
                <w:lang w:eastAsia="en-US"/>
              </w:rPr>
            </w:pPr>
            <w:r w:rsidRPr="000B14DE">
              <w:rPr>
                <w:rFonts w:ascii="Garamond" w:hAnsi="Garamond"/>
                <w:b/>
                <w:color w:val="auto"/>
                <w:sz w:val="20"/>
                <w:szCs w:val="20"/>
                <w:lang w:eastAsia="en-US"/>
              </w:rPr>
              <w:t>Level of Evidence</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Abildgaard N. and Peterslund N.A. </w:t>
            </w:r>
            <w:r w:rsidRPr="000B14DE">
              <w:rPr>
                <w:rFonts w:ascii="Garamond" w:hAnsi="Garamond"/>
                <w:i/>
                <w:color w:val="auto"/>
                <w:sz w:val="20"/>
                <w:szCs w:val="20"/>
                <w:lang w:eastAsia="en-US"/>
              </w:rPr>
              <w:t>1991</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1989</w:t>
            </w:r>
            <w:r w:rsidR="00A44371" w:rsidRPr="000B14DE">
              <w:rPr>
                <w:rFonts w:ascii="Garamond" w:hAnsi="Garamond"/>
                <w:color w:val="auto"/>
                <w:sz w:val="20"/>
                <w:szCs w:val="20"/>
                <w:lang w:eastAsia="en-US"/>
              </w:rPr>
              <w:t xml:space="preserve"> Where?</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Tattooed by a travelling gypsy</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Single case</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40-year-old married man</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report</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HCV</w:t>
            </w:r>
            <w:r w:rsidR="00AF2206" w:rsidRPr="000B14DE">
              <w:rPr>
                <w:rFonts w:ascii="Garamond" w:hAnsi="Garamond"/>
                <w:color w:val="auto"/>
                <w:sz w:val="20"/>
                <w:szCs w:val="20"/>
                <w:lang w:eastAsia="en-US"/>
              </w:rPr>
              <w:t xml:space="preserve"> </w:t>
            </w:r>
          </w:p>
        </w:tc>
        <w:tc>
          <w:tcPr>
            <w:tcW w:w="3543" w:type="dxa"/>
          </w:tcPr>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Subjective</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Armstrong, M.L.</w:t>
            </w:r>
            <w:r w:rsidRPr="000B14DE">
              <w:rPr>
                <w:rFonts w:ascii="Garamond" w:hAnsi="Garamond"/>
                <w:i/>
                <w:color w:val="auto"/>
                <w:sz w:val="20"/>
                <w:szCs w:val="20"/>
                <w:lang w:eastAsia="en-US"/>
              </w:rPr>
              <w:t xml:space="preserve">et al.2008 </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1985–2007</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Clinical cases in USA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22 specific cases of Infective Endocarditis.</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10 males, 12 females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series</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Infective endocarditis</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Infective endocarditis associated with piercing the tongue (seven), ear lobes (six), navel (five), lip (one), nose (one), and nipple (one), and reported in one heavily tattooed person.</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Subjective</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Bruneau J, </w:t>
            </w:r>
            <w:r w:rsidRPr="000B14DE">
              <w:rPr>
                <w:rFonts w:ascii="Garamond" w:hAnsi="Garamond"/>
                <w:i/>
                <w:color w:val="auto"/>
                <w:sz w:val="20"/>
                <w:szCs w:val="20"/>
                <w:lang w:eastAsia="en-US"/>
              </w:rPr>
              <w:t>et al 2010</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2004 to 2008</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An open cohort of IDUs in Montreal, Canada:</w:t>
            </w:r>
          </w:p>
        </w:tc>
        <w:tc>
          <w:tcPr>
            <w:tcW w:w="1418" w:type="dxa"/>
          </w:tcPr>
          <w:p w:rsidR="00006F4D" w:rsidRPr="000B14DE" w:rsidRDefault="00A44371"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784</w:t>
            </w:r>
            <w:r w:rsidR="00006F4D" w:rsidRPr="000B14DE">
              <w:rPr>
                <w:rFonts w:ascii="Garamond" w:hAnsi="Garamond"/>
                <w:color w:val="auto"/>
                <w:sz w:val="20"/>
                <w:szCs w:val="20"/>
                <w:lang w:eastAsia="en-US"/>
              </w:rPr>
              <w:t xml:space="preserve"> IDUs</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18 years of age or older</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Cohort study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HCV</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Availability of body art facilities and body art piercing do not predict hepatitis C acquisition among injection drug users </w:t>
            </w:r>
            <w:r w:rsidRPr="000B14DE">
              <w:rPr>
                <w:rFonts w:ascii="Garamond" w:hAnsi="Garamond"/>
                <w:color w:val="auto"/>
                <w:sz w:val="22"/>
                <w:szCs w:val="22"/>
                <w:lang w:eastAsia="en-US"/>
              </w:rPr>
              <w:t xml:space="preserve"> </w:t>
            </w:r>
            <w:r w:rsidRPr="000B14DE">
              <w:rPr>
                <w:rFonts w:ascii="Garamond" w:hAnsi="Garamond"/>
                <w:color w:val="auto"/>
                <w:sz w:val="20"/>
                <w:szCs w:val="20"/>
                <w:lang w:eastAsia="en-US"/>
              </w:rPr>
              <w:t>Statistically significant independent effects of recent imprisonment and frequency of recent injections..</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Selection bias, Follow up bias, Body art practice not well defined.</w:t>
            </w:r>
          </w:p>
        </w:tc>
        <w:tc>
          <w:tcPr>
            <w:tcW w:w="1166" w:type="dxa"/>
          </w:tcPr>
          <w:p w:rsidR="00006F4D" w:rsidRPr="000B14DE" w:rsidRDefault="00006F4D" w:rsidP="002950E4">
            <w:pPr>
              <w:spacing w:line="360" w:lineRule="auto"/>
              <w:rPr>
                <w:rFonts w:ascii="Garamond" w:hAnsi="Garamond"/>
                <w:color w:val="auto"/>
                <w:sz w:val="22"/>
                <w:szCs w:val="22"/>
                <w:lang w:eastAsia="en-US"/>
              </w:rPr>
            </w:pPr>
            <w:r w:rsidRPr="000B14DE">
              <w:rPr>
                <w:rFonts w:ascii="Garamond" w:hAnsi="Garamond"/>
                <w:color w:val="auto"/>
                <w:sz w:val="22"/>
                <w:szCs w:val="22"/>
                <w:lang w:eastAsia="en-US"/>
              </w:rPr>
              <w:t>2-</w:t>
            </w:r>
          </w:p>
          <w:p w:rsidR="00006F4D" w:rsidRPr="000B14DE" w:rsidRDefault="00006F4D" w:rsidP="002950E4">
            <w:pPr>
              <w:spacing w:line="360" w:lineRule="auto"/>
              <w:rPr>
                <w:rFonts w:ascii="Garamond" w:hAnsi="Garamond"/>
                <w:color w:val="auto"/>
                <w:sz w:val="20"/>
                <w:szCs w:val="20"/>
                <w:lang w:eastAsia="en-US"/>
              </w:rPr>
            </w:pP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Campello C. </w:t>
            </w:r>
            <w:r w:rsidRPr="000B14DE">
              <w:rPr>
                <w:rFonts w:ascii="Garamond" w:hAnsi="Garamond"/>
                <w:i/>
                <w:color w:val="auto"/>
                <w:sz w:val="20"/>
                <w:szCs w:val="20"/>
                <w:lang w:eastAsia="en-US"/>
              </w:rPr>
              <w:t>et al 2002</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1994 to March 1995</w:t>
            </w:r>
          </w:p>
        </w:tc>
        <w:tc>
          <w:tcPr>
            <w:tcW w:w="992" w:type="dxa"/>
          </w:tcPr>
          <w:p w:rsidR="00006F4D" w:rsidRPr="000B14DE" w:rsidRDefault="00006F4D" w:rsidP="00A44371">
            <w:pPr>
              <w:spacing w:line="360" w:lineRule="auto"/>
              <w:ind w:left="-65" w:right="-119"/>
              <w:rPr>
                <w:rFonts w:ascii="Garamond" w:hAnsi="Garamond"/>
                <w:color w:val="auto"/>
                <w:sz w:val="20"/>
                <w:szCs w:val="20"/>
                <w:lang w:eastAsia="en-US"/>
              </w:rPr>
            </w:pPr>
            <w:r w:rsidRPr="000B14DE">
              <w:rPr>
                <w:rFonts w:ascii="Garamond" w:hAnsi="Garamond"/>
                <w:color w:val="auto"/>
                <w:sz w:val="20"/>
                <w:szCs w:val="20"/>
                <w:lang w:eastAsia="en-US"/>
              </w:rPr>
              <w:t>Community-based population study in northern Italy- mainly employee in the processing and/or trade of</w:t>
            </w:r>
            <w:r w:rsidRPr="000B14DE">
              <w:rPr>
                <w:rFonts w:ascii="Garamond" w:hAnsi="Garamond"/>
                <w:color w:val="auto"/>
                <w:sz w:val="20"/>
                <w:szCs w:val="20"/>
                <w:lang w:eastAsia="en-US"/>
              </w:rPr>
              <w:br/>
              <w:t>food and beverages.</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2154 participants aged 17–67 years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Seroprevalence study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p>
        </w:tc>
        <w:tc>
          <w:tcPr>
            <w:tcW w:w="3543" w:type="dxa"/>
          </w:tcPr>
          <w:p w:rsidR="00006F4D" w:rsidRPr="000B14DE" w:rsidRDefault="00006F4D" w:rsidP="00993960">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In the multivariate analysis sex, age over 50 years, transfusion, IVDU and tattooing were confirmed as risk factors</w:t>
            </w:r>
            <w:r w:rsidR="00A44371" w:rsidRPr="000B14DE">
              <w:rPr>
                <w:rFonts w:ascii="Garamond" w:hAnsi="Garamond"/>
                <w:color w:val="auto"/>
                <w:sz w:val="20"/>
                <w:szCs w:val="20"/>
                <w:lang w:eastAsia="en-US"/>
              </w:rPr>
              <w:t xml:space="preserve"> </w:t>
            </w:r>
            <w:r w:rsidR="00993960" w:rsidRPr="000B14DE">
              <w:rPr>
                <w:rFonts w:ascii="Garamond" w:hAnsi="Garamond"/>
                <w:color w:val="auto"/>
                <w:sz w:val="20"/>
                <w:szCs w:val="20"/>
                <w:lang w:eastAsia="en-US"/>
              </w:rPr>
              <w:t>for HCV infection</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Selection bias</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Deschesnes M. </w:t>
            </w:r>
            <w:r w:rsidRPr="000B14DE">
              <w:rPr>
                <w:rFonts w:ascii="Garamond" w:hAnsi="Garamond"/>
                <w:i/>
                <w:color w:val="auto"/>
                <w:sz w:val="20"/>
                <w:szCs w:val="20"/>
                <w:lang w:eastAsia="en-US"/>
              </w:rPr>
              <w:t>et al 2006.</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2002</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23 high schools in Quebec, Canada.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High school students, age range 12-18. 2145 of 2180 (81%) students data  analysed</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Skin irritations</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Unusual bleeding infection at site</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Allergy to dye/metal</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Swollen glands 4.4%</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158 had complications</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Skin irritations- 19%</w:t>
            </w:r>
          </w:p>
          <w:p w:rsidR="00006F4D" w:rsidRPr="000B14DE" w:rsidRDefault="00006F4D" w:rsidP="002950E4">
            <w:pPr>
              <w:spacing w:line="360" w:lineRule="auto"/>
              <w:rPr>
                <w:rFonts w:ascii="Garamond" w:hAnsi="Garamond"/>
                <w:color w:val="auto"/>
                <w:sz w:val="20"/>
                <w:szCs w:val="20"/>
                <w:lang w:eastAsia="en-US"/>
              </w:rPr>
            </w:pPr>
            <w:r w:rsidRPr="007D20B7">
              <w:rPr>
                <w:rFonts w:ascii="Garamond" w:hAnsi="Garamond"/>
                <w:color w:val="auto"/>
                <w:sz w:val="20"/>
                <w:szCs w:val="20"/>
                <w:highlight w:val="yellow"/>
                <w:lang w:eastAsia="en-US"/>
              </w:rPr>
              <w:t>Unusual bleeding 10%</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Infection at site 7%; </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Allergy to dye or metal 5.1%</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Swollen glands 4.4%</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 convenience sampling.</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Drage, L.A.</w:t>
            </w:r>
            <w:r w:rsidRPr="000B14DE">
              <w:rPr>
                <w:rFonts w:ascii="Garamond" w:hAnsi="Garamond"/>
                <w:i/>
                <w:color w:val="auto"/>
                <w:sz w:val="20"/>
                <w:szCs w:val="20"/>
                <w:lang w:eastAsia="en-US"/>
              </w:rPr>
              <w:t>et al 2010.</w:t>
            </w:r>
            <w:r w:rsidRPr="000B14DE">
              <w:rPr>
                <w:rFonts w:ascii="Garamond" w:hAnsi="Garamond"/>
                <w:color w:val="auto"/>
                <w:sz w:val="20"/>
                <w:szCs w:val="20"/>
                <w:lang w:eastAsia="en-US"/>
              </w:rPr>
              <w:t xml:space="preserve">  </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2008 and 2009</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Outbreak in USA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5 cases</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 men and 2 women with a mean age of 21 years (age range 18–23 years)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report- Outbreak</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Mycobacterium Chelonae </w:t>
            </w:r>
          </w:p>
        </w:tc>
        <w:tc>
          <w:tcPr>
            <w:tcW w:w="3543" w:type="dxa"/>
          </w:tcPr>
          <w:p w:rsidR="00006F4D" w:rsidRPr="000B14DE" w:rsidRDefault="00D759C4" w:rsidP="00993960">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Skin</w:t>
            </w:r>
            <w:r w:rsidR="00993960" w:rsidRPr="000B14DE">
              <w:rPr>
                <w:rFonts w:ascii="Garamond" w:hAnsi="Garamond"/>
                <w:color w:val="auto"/>
                <w:sz w:val="20"/>
                <w:szCs w:val="20"/>
                <w:lang w:eastAsia="en-US"/>
              </w:rPr>
              <w:t xml:space="preserve"> lesions in tattooed areas, all of which had been recently administered in the same tattoo </w:t>
            </w:r>
            <w:r w:rsidRPr="000B14DE">
              <w:rPr>
                <w:rFonts w:ascii="Garamond" w:hAnsi="Garamond"/>
                <w:color w:val="auto"/>
                <w:sz w:val="20"/>
                <w:szCs w:val="20"/>
                <w:lang w:eastAsia="en-US"/>
              </w:rPr>
              <w:t xml:space="preserve">parlour. </w:t>
            </w:r>
            <w:r w:rsidRPr="007D20B7">
              <w:rPr>
                <w:rFonts w:ascii="Garamond" w:hAnsi="Garamond"/>
                <w:color w:val="auto"/>
                <w:sz w:val="20"/>
                <w:szCs w:val="20"/>
                <w:highlight w:val="yellow"/>
                <w:lang w:eastAsia="en-US"/>
              </w:rPr>
              <w:t>The</w:t>
            </w:r>
            <w:r w:rsidR="00993960" w:rsidRPr="007D20B7">
              <w:rPr>
                <w:rFonts w:ascii="Garamond" w:hAnsi="Garamond"/>
                <w:color w:val="auto"/>
                <w:sz w:val="20"/>
                <w:szCs w:val="20"/>
                <w:highlight w:val="yellow"/>
                <w:lang w:eastAsia="en-US"/>
              </w:rPr>
              <w:t xml:space="preserve"> source of infection may have been either the water used to dilute the ink for obtaining the grey colour or the containers used for mixing the ink.</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Subjective </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val="fr-FR" w:eastAsia="en-US"/>
              </w:rPr>
            </w:pPr>
            <w:r w:rsidRPr="000B14DE">
              <w:rPr>
                <w:rFonts w:ascii="Garamond" w:hAnsi="Garamond"/>
                <w:color w:val="auto"/>
                <w:sz w:val="20"/>
                <w:szCs w:val="20"/>
                <w:lang w:val="fr-FR" w:eastAsia="en-US"/>
              </w:rPr>
              <w:t xml:space="preserve">Garland S.M. </w:t>
            </w:r>
            <w:r w:rsidRPr="000B14DE">
              <w:rPr>
                <w:rFonts w:ascii="Garamond" w:hAnsi="Garamond"/>
                <w:i/>
                <w:color w:val="auto"/>
                <w:sz w:val="20"/>
                <w:szCs w:val="20"/>
                <w:lang w:val="fr-FR" w:eastAsia="en-US"/>
              </w:rPr>
              <w:t>et al 2006</w:t>
            </w:r>
            <w:r w:rsidRPr="000B14DE">
              <w:rPr>
                <w:rFonts w:ascii="Garamond" w:hAnsi="Garamond"/>
                <w:color w:val="auto"/>
                <w:sz w:val="20"/>
                <w:szCs w:val="20"/>
                <w:lang w:val="fr-FR" w:eastAsia="en-US"/>
              </w:rPr>
              <w:t xml:space="preserve"> </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Antenatal case post screening in Australia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 pregnant lady</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report</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HIV infection associated with tattooing</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Home visit tattooing which took place in Vietnam</w:t>
            </w:r>
            <w:r w:rsidR="00BF1186" w:rsidRPr="000B14DE">
              <w:rPr>
                <w:rFonts w:ascii="Garamond" w:hAnsi="Garamond"/>
                <w:color w:val="auto"/>
                <w:sz w:val="20"/>
                <w:szCs w:val="20"/>
                <w:lang w:eastAsia="en-US"/>
              </w:rPr>
              <w:t xml:space="preserve"> </w:t>
            </w:r>
            <w:r w:rsidR="00207771" w:rsidRPr="000B14DE">
              <w:rPr>
                <w:rFonts w:ascii="Garamond" w:hAnsi="Garamond"/>
                <w:color w:val="auto"/>
                <w:sz w:val="20"/>
                <w:szCs w:val="20"/>
                <w:lang w:eastAsia="en-US"/>
              </w:rPr>
              <w:t>.Tattoo conducted by a mobile tattooist. Previous health</w:t>
            </w:r>
            <w:r w:rsidR="00D759C4" w:rsidRPr="000B14DE">
              <w:rPr>
                <w:rFonts w:ascii="Garamond" w:hAnsi="Garamond"/>
                <w:color w:val="auto"/>
                <w:sz w:val="20"/>
                <w:szCs w:val="20"/>
                <w:lang w:eastAsia="en-US"/>
              </w:rPr>
              <w:t>y</w:t>
            </w:r>
            <w:r w:rsidR="00207771" w:rsidRPr="000B14DE">
              <w:rPr>
                <w:rFonts w:ascii="Garamond" w:hAnsi="Garamond"/>
                <w:color w:val="auto"/>
                <w:sz w:val="20"/>
                <w:szCs w:val="20"/>
                <w:lang w:eastAsia="en-US"/>
              </w:rPr>
              <w:t xml:space="preserve"> child. Sexual partners and child negative for HIV. Pregnancy was terminated.</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Subjective</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Jafari S. </w:t>
            </w:r>
            <w:r w:rsidRPr="000B14DE">
              <w:rPr>
                <w:rFonts w:ascii="Garamond" w:hAnsi="Garamond"/>
                <w:i/>
                <w:color w:val="auto"/>
                <w:sz w:val="20"/>
                <w:szCs w:val="20"/>
                <w:lang w:eastAsia="en-US"/>
              </w:rPr>
              <w:t>et al 2010.</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2008</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Various subjects- hospital, community, blood donors</w:t>
            </w:r>
            <w:r w:rsidR="0079559B">
              <w:rPr>
                <w:rFonts w:ascii="Garamond" w:hAnsi="Garamond"/>
                <w:color w:val="auto"/>
                <w:sz w:val="20"/>
                <w:szCs w:val="20"/>
                <w:lang w:eastAsia="en-US"/>
              </w:rPr>
              <w:t xml:space="preserve"> in developing and developed countries.</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124 stu</w:t>
            </w:r>
            <w:r w:rsidR="0079559B">
              <w:rPr>
                <w:rFonts w:ascii="Garamond" w:hAnsi="Garamond"/>
                <w:color w:val="auto"/>
                <w:sz w:val="20"/>
                <w:szCs w:val="20"/>
                <w:lang w:eastAsia="en-US"/>
              </w:rPr>
              <w:t>dies were included, of which 83</w:t>
            </w:r>
            <w:r w:rsidR="004E3BE9" w:rsidRPr="000B14DE">
              <w:rPr>
                <w:rFonts w:ascii="Garamond" w:hAnsi="Garamond"/>
                <w:color w:val="auto"/>
                <w:sz w:val="20"/>
                <w:szCs w:val="20"/>
                <w:lang w:eastAsia="en-US"/>
              </w:rPr>
              <w:t xml:space="preserve"> studies (45 cross sectional, 30 case– control, and 8 cohort) with a total of 132 145 participants that were included in the meta-analysis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Systematic review with meta-analysis.</w:t>
            </w:r>
          </w:p>
          <w:p w:rsidR="004E3BE9" w:rsidRPr="000B14DE" w:rsidRDefault="004E3BE9" w:rsidP="004E3BE9">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The mean score from all the studies was 7 with a range of 6 to 9- 9 been highest for quality.</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HCV</w:t>
            </w:r>
          </w:p>
        </w:tc>
        <w:tc>
          <w:tcPr>
            <w:tcW w:w="3543" w:type="dxa"/>
          </w:tcPr>
          <w:p w:rsidR="00006F4D" w:rsidRPr="000B14DE" w:rsidRDefault="00207771" w:rsidP="004E3BE9">
            <w:pPr>
              <w:spacing w:line="360" w:lineRule="auto"/>
              <w:rPr>
                <w:rFonts w:ascii="Garamond" w:hAnsi="Garamond"/>
                <w:color w:val="auto"/>
                <w:sz w:val="20"/>
                <w:szCs w:val="20"/>
                <w:lang w:eastAsia="en-US"/>
              </w:rPr>
            </w:pPr>
            <w:r w:rsidRPr="000B14DE">
              <w:rPr>
                <w:rFonts w:ascii="Garamond" w:hAnsi="Garamond"/>
                <w:sz w:val="20"/>
                <w:szCs w:val="20"/>
              </w:rPr>
              <w:t xml:space="preserve">Tattooing is more common among the youth and young adults and hepatitis C is very common in the imprisoned </w:t>
            </w:r>
            <w:r w:rsidR="00D759C4" w:rsidRPr="000B14DE">
              <w:rPr>
                <w:rFonts w:ascii="Garamond" w:hAnsi="Garamond"/>
                <w:sz w:val="20"/>
                <w:szCs w:val="20"/>
              </w:rPr>
              <w:t>population</w:t>
            </w:r>
            <w:r w:rsidR="00D759C4" w:rsidRPr="000B14DE">
              <w:rPr>
                <w:rFonts w:ascii="Garamond" w:hAnsi="Garamond"/>
                <w:sz w:val="14"/>
                <w:szCs w:val="14"/>
              </w:rPr>
              <w:t>,</w:t>
            </w:r>
            <w:r w:rsidR="00D759C4" w:rsidRPr="000B14DE">
              <w:rPr>
                <w:rFonts w:ascii="Garamond" w:hAnsi="Garamond"/>
                <w:color w:val="auto"/>
                <w:sz w:val="20"/>
                <w:szCs w:val="20"/>
                <w:lang w:eastAsia="en-US"/>
              </w:rPr>
              <w:t xml:space="preserve"> Pooled</w:t>
            </w:r>
            <w:r w:rsidRPr="000B14DE">
              <w:rPr>
                <w:rFonts w:ascii="Garamond" w:hAnsi="Garamond"/>
                <w:color w:val="auto"/>
                <w:sz w:val="20"/>
                <w:szCs w:val="20"/>
                <w:lang w:eastAsia="en-US"/>
              </w:rPr>
              <w:t xml:space="preserve"> odds ratio was 2.74 (2.38 3.15). In a subgroup </w:t>
            </w:r>
            <w:r w:rsidR="00D759C4" w:rsidRPr="000B14DE">
              <w:rPr>
                <w:rFonts w:ascii="Garamond" w:hAnsi="Garamond"/>
                <w:color w:val="auto"/>
                <w:sz w:val="20"/>
                <w:szCs w:val="20"/>
                <w:lang w:eastAsia="en-US"/>
              </w:rPr>
              <w:t>analysis, odds</w:t>
            </w:r>
            <w:r w:rsidRPr="000B14DE">
              <w:rPr>
                <w:rFonts w:ascii="Garamond" w:hAnsi="Garamond"/>
                <w:color w:val="auto"/>
                <w:sz w:val="20"/>
                <w:szCs w:val="20"/>
                <w:lang w:eastAsia="en-US"/>
              </w:rPr>
              <w:t xml:space="preserve"> ratio </w:t>
            </w:r>
            <w:r w:rsidR="004E3BE9" w:rsidRPr="000B14DE">
              <w:rPr>
                <w:rFonts w:ascii="Garamond" w:hAnsi="Garamond"/>
                <w:color w:val="auto"/>
                <w:sz w:val="20"/>
                <w:szCs w:val="20"/>
                <w:lang w:eastAsia="en-US"/>
              </w:rPr>
              <w:t xml:space="preserve">for </w:t>
            </w:r>
            <w:r w:rsidRPr="000B14DE">
              <w:rPr>
                <w:rFonts w:ascii="Garamond" w:hAnsi="Garamond"/>
                <w:color w:val="auto"/>
                <w:sz w:val="20"/>
                <w:szCs w:val="20"/>
                <w:lang w:eastAsia="en-US"/>
              </w:rPr>
              <w:t xml:space="preserve">hepatitis C for samples derived from non injection drug users </w:t>
            </w:r>
            <w:r w:rsidR="004E3BE9" w:rsidRPr="000B14DE">
              <w:rPr>
                <w:rFonts w:ascii="Garamond" w:hAnsi="Garamond"/>
                <w:color w:val="auto"/>
                <w:sz w:val="20"/>
                <w:szCs w:val="20"/>
                <w:lang w:eastAsia="en-US"/>
              </w:rPr>
              <w:t>was 5.74 (</w:t>
            </w:r>
            <w:r w:rsidRPr="000B14DE">
              <w:rPr>
                <w:rFonts w:ascii="Garamond" w:hAnsi="Garamond"/>
                <w:color w:val="auto"/>
                <w:sz w:val="20"/>
                <w:szCs w:val="20"/>
                <w:lang w:eastAsia="en-US"/>
              </w:rPr>
              <w:t>1.98–16.66).</w:t>
            </w:r>
          </w:p>
          <w:p w:rsidR="004E3BE9" w:rsidRPr="000B14DE" w:rsidRDefault="004E3BE9" w:rsidP="004E3BE9">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The association between tattooing and hepatitis C was significant for tattoos done in non-professional parlours or done by friends (OR 2.80, 95% CI 1.29–6.08).</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Publication bias, high heterogeneity. </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val="fr-FR" w:eastAsia="en-US"/>
              </w:rPr>
            </w:pPr>
            <w:r w:rsidRPr="000B14DE">
              <w:rPr>
                <w:rFonts w:ascii="Garamond" w:hAnsi="Garamond"/>
                <w:color w:val="auto"/>
                <w:sz w:val="20"/>
                <w:szCs w:val="20"/>
                <w:lang w:val="fr-FR" w:eastAsia="en-US"/>
              </w:rPr>
              <w:t xml:space="preserve">Mayers L.B. </w:t>
            </w:r>
            <w:r w:rsidRPr="000B14DE">
              <w:rPr>
                <w:rFonts w:ascii="Garamond" w:hAnsi="Garamond"/>
                <w:i/>
                <w:color w:val="auto"/>
                <w:sz w:val="20"/>
                <w:szCs w:val="20"/>
                <w:lang w:val="fr-FR" w:eastAsia="en-US"/>
              </w:rPr>
              <w:t>et al</w:t>
            </w:r>
            <w:r w:rsidRPr="000B14DE">
              <w:rPr>
                <w:rFonts w:ascii="Garamond" w:hAnsi="Garamond"/>
                <w:color w:val="auto"/>
                <w:sz w:val="20"/>
                <w:szCs w:val="20"/>
                <w:lang w:val="fr-FR" w:eastAsia="en-US"/>
              </w:rPr>
              <w:t xml:space="preserve"> </w:t>
            </w:r>
            <w:r w:rsidRPr="000B14DE">
              <w:rPr>
                <w:rFonts w:ascii="Garamond" w:hAnsi="Garamond"/>
                <w:i/>
                <w:color w:val="auto"/>
                <w:sz w:val="20"/>
                <w:szCs w:val="20"/>
                <w:lang w:val="fr-FR" w:eastAsia="en-US"/>
              </w:rPr>
              <w:t>2002.</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2001</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University, US</w:t>
            </w:r>
            <w:r w:rsidR="00287A67">
              <w:rPr>
                <w:rFonts w:ascii="Garamond" w:hAnsi="Garamond"/>
                <w:color w:val="auto"/>
                <w:sz w:val="20"/>
                <w:szCs w:val="20"/>
                <w:lang w:eastAsia="en-US"/>
              </w:rPr>
              <w:t>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454 students (218 men and 236 women). Randomly selected students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Keloid and scarring</w:t>
            </w:r>
          </w:p>
          <w:p w:rsidR="00006F4D" w:rsidRPr="000B14DE" w:rsidRDefault="00006F4D" w:rsidP="002950E4">
            <w:pPr>
              <w:spacing w:line="360" w:lineRule="auto"/>
              <w:rPr>
                <w:rFonts w:ascii="Garamond" w:hAnsi="Garamond"/>
                <w:color w:val="auto"/>
                <w:sz w:val="20"/>
                <w:szCs w:val="20"/>
                <w:lang w:eastAsia="en-US"/>
              </w:rPr>
            </w:pP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Most popular sites were the arms and hands for men and the back for women. Complications reported were scars and keloid.</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Neal KR, </w:t>
            </w:r>
            <w:r w:rsidRPr="000B14DE">
              <w:rPr>
                <w:rFonts w:ascii="Garamond" w:hAnsi="Garamond"/>
                <w:i/>
                <w:color w:val="auto"/>
                <w:sz w:val="20"/>
                <w:szCs w:val="20"/>
                <w:lang w:eastAsia="en-US"/>
              </w:rPr>
              <w:t>et al 1994</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1991 to 1992.</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Blood donors in the UK</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119 Blood donors in UK and 150 controls. Of the 74 cases, 46 were male (mean age 34-6 years) and 28 female (mean age 37-6) and of the 150 controls 92 were male (mean age 34-2) and 58 female (mean age 36-6).</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control</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HCV</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No association of HCV with professional tattooing. Association with injecting drug use, blood transfusion, sex with IDU or HCV positive person, healthcare worker, born outside the UK. </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Hepatitis C infection associated with amateur tattooing-Descriptions of groups of people tattooing themselves with unclean needles, given by some of the cases.</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and response bias,? Power calculation- small size for multivariate analysis</w:t>
            </w:r>
          </w:p>
          <w:p w:rsidR="00006F4D" w:rsidRPr="000B14DE" w:rsidRDefault="00006F4D" w:rsidP="002950E4">
            <w:pPr>
              <w:spacing w:line="360" w:lineRule="auto"/>
              <w:rPr>
                <w:rFonts w:ascii="Garamond" w:hAnsi="Garamond"/>
                <w:color w:val="auto"/>
                <w:sz w:val="20"/>
                <w:szCs w:val="20"/>
                <w:lang w:eastAsia="en-US"/>
              </w:rPr>
            </w:pP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Nishioka SD</w:t>
            </w:r>
            <w:r w:rsidRPr="00103951">
              <w:rPr>
                <w:rFonts w:ascii="Garamond" w:hAnsi="Garamond"/>
                <w:i/>
                <w:color w:val="auto"/>
                <w:sz w:val="20"/>
                <w:szCs w:val="20"/>
                <w:lang w:eastAsia="en-US"/>
              </w:rPr>
              <w:t>.</w:t>
            </w:r>
            <w:r w:rsidR="00103951" w:rsidRPr="00103951">
              <w:rPr>
                <w:rFonts w:ascii="Garamond" w:hAnsi="Garamond"/>
                <w:i/>
                <w:color w:val="auto"/>
                <w:sz w:val="20"/>
                <w:szCs w:val="20"/>
                <w:lang w:eastAsia="en-US"/>
              </w:rPr>
              <w:t>et al</w:t>
            </w:r>
            <w:r w:rsidRPr="000B14DE">
              <w:rPr>
                <w:rFonts w:ascii="Garamond" w:hAnsi="Garamond"/>
                <w:color w:val="auto"/>
                <w:sz w:val="20"/>
                <w:szCs w:val="20"/>
                <w:lang w:eastAsia="en-US"/>
              </w:rPr>
              <w:t xml:space="preserve"> </w:t>
            </w:r>
            <w:r w:rsidRPr="000B14DE">
              <w:rPr>
                <w:rFonts w:ascii="Garamond" w:hAnsi="Garamond"/>
                <w:i/>
                <w:color w:val="auto"/>
                <w:sz w:val="20"/>
                <w:szCs w:val="20"/>
                <w:lang w:eastAsia="en-US"/>
              </w:rPr>
              <w:t>2002</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 1998 to 2000</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Hospital-based in  Brazil</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182 people</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 18-62 years old who were admitted to the hospital,</w:t>
            </w:r>
            <w:r w:rsidRPr="000B14DE">
              <w:rPr>
                <w:rFonts w:ascii="Garamond" w:hAnsi="Garamond"/>
                <w:color w:val="auto"/>
                <w:sz w:val="20"/>
                <w:szCs w:val="20"/>
                <w:lang w:eastAsia="en-US"/>
              </w:rPr>
              <w:br/>
              <w:t>came to the outpatient clinic, or who volunteered to</w:t>
            </w:r>
            <w:r w:rsidRPr="000B14DE">
              <w:rPr>
                <w:rFonts w:ascii="Garamond" w:hAnsi="Garamond"/>
                <w:color w:val="auto"/>
                <w:sz w:val="20"/>
                <w:szCs w:val="20"/>
                <w:lang w:eastAsia="en-US"/>
              </w:rPr>
              <w:br/>
              <w:t>donate blood</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Cross-sectional matched study </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HBV</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HCV </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HIV infections</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Syphilis and Chagas' disease</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Age at first tattoo ranged from 8 to 40 years.</w:t>
            </w:r>
            <w:r w:rsidRPr="000B14DE">
              <w:rPr>
                <w:rFonts w:ascii="Garamond" w:hAnsi="Garamond"/>
                <w:color w:val="auto"/>
                <w:sz w:val="22"/>
                <w:szCs w:val="22"/>
                <w:lang w:eastAsia="en-US"/>
              </w:rPr>
              <w:t xml:space="preserve"> </w:t>
            </w:r>
            <w:r w:rsidRPr="000B14DE">
              <w:rPr>
                <w:rFonts w:ascii="Garamond" w:hAnsi="Garamond"/>
                <w:color w:val="auto"/>
                <w:sz w:val="20"/>
                <w:szCs w:val="20"/>
                <w:lang w:eastAsia="en-US"/>
              </w:rPr>
              <w:t xml:space="preserve">Significant associations between an </w:t>
            </w:r>
            <w:r w:rsidRPr="000B14DE">
              <w:rPr>
                <w:rFonts w:ascii="Garamond" w:hAnsi="Garamond"/>
                <w:color w:val="auto"/>
                <w:sz w:val="20"/>
                <w:szCs w:val="20"/>
                <w:highlight w:val="yellow"/>
                <w:lang w:eastAsia="en-US"/>
              </w:rPr>
              <w:t>increasing number of tattoos</w:t>
            </w:r>
            <w:r w:rsidRPr="000B14DE">
              <w:rPr>
                <w:rFonts w:ascii="Garamond" w:hAnsi="Garamond"/>
                <w:color w:val="auto"/>
                <w:sz w:val="20"/>
                <w:szCs w:val="20"/>
                <w:lang w:eastAsia="en-US"/>
              </w:rPr>
              <w:t xml:space="preserve"> and HBV infection, </w:t>
            </w:r>
            <w:r w:rsidRPr="000B14DE">
              <w:rPr>
                <w:rFonts w:ascii="Garamond" w:hAnsi="Garamond"/>
                <w:color w:val="auto"/>
                <w:sz w:val="20"/>
                <w:szCs w:val="20"/>
                <w:highlight w:val="yellow"/>
                <w:lang w:eastAsia="en-US"/>
              </w:rPr>
              <w:t>having a non-professional tattoo</w:t>
            </w:r>
            <w:r w:rsidRPr="000B14DE">
              <w:rPr>
                <w:rFonts w:ascii="Garamond" w:hAnsi="Garamond"/>
                <w:color w:val="auto"/>
                <w:sz w:val="20"/>
                <w:szCs w:val="20"/>
                <w:lang w:eastAsia="en-US"/>
              </w:rPr>
              <w:t xml:space="preserve"> and testing positive for at least one blood borne virus and having 3 or more tattoos and testing positive for at least one BBV.</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Selection bias, non random/convenient selection, ?power calculation</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Rania A.T. and Scott D.H.,</w:t>
            </w:r>
            <w:r w:rsidRPr="000B14DE">
              <w:rPr>
                <w:rFonts w:ascii="Garamond" w:hAnsi="Garamond"/>
                <w:i/>
                <w:color w:val="auto"/>
                <w:sz w:val="20"/>
                <w:szCs w:val="20"/>
                <w:lang w:eastAsia="en-US"/>
              </w:rPr>
              <w:t>2012</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2011</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Various setting-hospital, community, blood donors</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62 articles-case-control, cohort or cross sectional studies.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Systematic review</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HCV </w:t>
            </w:r>
          </w:p>
          <w:p w:rsidR="00006F4D" w:rsidRPr="000B14DE" w:rsidRDefault="00006F4D" w:rsidP="002950E4">
            <w:pPr>
              <w:spacing w:line="360" w:lineRule="auto"/>
              <w:rPr>
                <w:rFonts w:ascii="Garamond" w:hAnsi="Garamond"/>
                <w:color w:val="auto"/>
                <w:sz w:val="20"/>
                <w:szCs w:val="20"/>
                <w:lang w:eastAsia="en-US"/>
              </w:rPr>
            </w:pP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The risk of HCV infection is significant, especially among high-risk groups (adjusted odds ratio, 2.0–3.6), when </w:t>
            </w:r>
            <w:r w:rsidRPr="000B14DE">
              <w:rPr>
                <w:rFonts w:ascii="Garamond" w:hAnsi="Garamond"/>
                <w:color w:val="auto"/>
                <w:sz w:val="20"/>
                <w:szCs w:val="20"/>
                <w:highlight w:val="yellow"/>
                <w:lang w:eastAsia="en-US"/>
              </w:rPr>
              <w:t>tattoos are applied in prison settings or by friends</w:t>
            </w:r>
            <w:r w:rsidRPr="000B14DE">
              <w:rPr>
                <w:rFonts w:ascii="Garamond" w:hAnsi="Garamond"/>
                <w:color w:val="auto"/>
                <w:sz w:val="20"/>
                <w:szCs w:val="20"/>
                <w:lang w:eastAsia="en-US"/>
              </w:rPr>
              <w:t>.</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Publication bias, recall bias, heterogeneity with combining studies</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val="it-IT" w:eastAsia="en-US"/>
              </w:rPr>
            </w:pPr>
            <w:r w:rsidRPr="000B14DE">
              <w:rPr>
                <w:rFonts w:ascii="Garamond" w:hAnsi="Garamond"/>
                <w:color w:val="auto"/>
                <w:sz w:val="20"/>
                <w:szCs w:val="20"/>
                <w:lang w:val="it-IT" w:eastAsia="en-US"/>
              </w:rPr>
              <w:t xml:space="preserve">Satchithananda, D.K., </w:t>
            </w:r>
            <w:r w:rsidRPr="000B14DE">
              <w:rPr>
                <w:rFonts w:ascii="Garamond" w:hAnsi="Garamond"/>
                <w:i/>
                <w:color w:val="auto"/>
                <w:sz w:val="20"/>
                <w:szCs w:val="20"/>
                <w:lang w:val="it-IT" w:eastAsia="en-US"/>
              </w:rPr>
              <w:t>et al.,2001</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w:t>
            </w:r>
          </w:p>
        </w:tc>
        <w:tc>
          <w:tcPr>
            <w:tcW w:w="992" w:type="dxa"/>
          </w:tcPr>
          <w:p w:rsidR="00006F4D" w:rsidRPr="000B14DE" w:rsidRDefault="00006F4D" w:rsidP="002950E4">
            <w:pPr>
              <w:spacing w:line="360" w:lineRule="auto"/>
              <w:rPr>
                <w:rFonts w:ascii="Garamond" w:hAnsi="Garamond"/>
                <w:color w:val="auto"/>
                <w:sz w:val="20"/>
                <w:szCs w:val="20"/>
                <w:lang w:eastAsia="en-US"/>
              </w:rPr>
            </w:pP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 clinical case- a 28 year old man with a congenital functionally bicuspid aortic valve</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report</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Infective endocarditis</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Tattooed monthly for a period of five years in a tattoo parlour</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Subjective study</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val="fr-FR" w:eastAsia="en-US"/>
              </w:rPr>
            </w:pPr>
            <w:r w:rsidRPr="000B14DE">
              <w:rPr>
                <w:rFonts w:ascii="Garamond" w:hAnsi="Garamond"/>
                <w:color w:val="auto"/>
                <w:sz w:val="20"/>
                <w:szCs w:val="20"/>
                <w:lang w:val="fr-FR" w:eastAsia="en-US"/>
              </w:rPr>
              <w:t xml:space="preserve">Pérez, C.M. </w:t>
            </w:r>
            <w:r w:rsidRPr="000B14DE">
              <w:rPr>
                <w:rFonts w:ascii="Garamond" w:hAnsi="Garamond"/>
                <w:i/>
                <w:color w:val="auto"/>
                <w:sz w:val="20"/>
                <w:szCs w:val="20"/>
                <w:lang w:val="fr-FR" w:eastAsia="en-US"/>
              </w:rPr>
              <w:t>et al, 2005</w:t>
            </w:r>
            <w:r w:rsidRPr="000B14DE">
              <w:rPr>
                <w:rFonts w:ascii="Garamond" w:hAnsi="Garamond"/>
                <w:color w:val="auto"/>
                <w:sz w:val="20"/>
                <w:szCs w:val="20"/>
                <w:lang w:val="fr-FR" w:eastAsia="en-US"/>
              </w:rPr>
              <w:t xml:space="preserve"> </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2001–2002</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Sample of households representative of the population  in San Juan,</w:t>
            </w:r>
            <w:r w:rsidRPr="000B14DE">
              <w:rPr>
                <w:rFonts w:ascii="Garamond" w:hAnsi="Garamond"/>
                <w:color w:val="auto"/>
                <w:sz w:val="22"/>
                <w:szCs w:val="22"/>
                <w:lang w:eastAsia="en-US"/>
              </w:rPr>
              <w:t xml:space="preserve"> </w:t>
            </w:r>
            <w:r w:rsidRPr="000B14DE">
              <w:rPr>
                <w:rFonts w:ascii="Garamond" w:hAnsi="Garamond"/>
                <w:color w:val="auto"/>
                <w:sz w:val="20"/>
                <w:szCs w:val="20"/>
                <w:lang w:eastAsia="en-US"/>
              </w:rPr>
              <w:t>Puerto Rico</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964 subjects  aged 21–64 years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survey with face-to-face interview followed by venepuncture for HCV antibody testing</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HCV </w:t>
            </w:r>
          </w:p>
          <w:p w:rsidR="00006F4D" w:rsidRPr="000B14DE" w:rsidRDefault="00006F4D" w:rsidP="002950E4">
            <w:pPr>
              <w:spacing w:line="360" w:lineRule="auto"/>
              <w:rPr>
                <w:rFonts w:ascii="Garamond" w:hAnsi="Garamond"/>
                <w:color w:val="auto"/>
                <w:sz w:val="20"/>
                <w:szCs w:val="20"/>
                <w:lang w:eastAsia="en-US"/>
              </w:rPr>
            </w:pPr>
          </w:p>
        </w:tc>
        <w:tc>
          <w:tcPr>
            <w:tcW w:w="3543" w:type="dxa"/>
          </w:tcPr>
          <w:p w:rsidR="00BF1186" w:rsidRPr="000B14DE" w:rsidRDefault="00C97936"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Multivariate logistic regression revealed that tattooing practices (POR = 8.9; 95% CI 1.7–44.7), lifetime cocaine use (POR = 5.5; 95% CI 2.2–13.5), blood transfusions prior to 1992 (POR = 4.0; 95% CI 1.6 10.1), lifetime heroin use (POR = 3.3; 95% CI 1.4–7.8), and history of imprisonment (POR = 2.3; 95% CI 1.1–4.9) remained significantly associated with HCV seropositivity.</w:t>
            </w:r>
            <w:r w:rsidRPr="000B14DE" w:rsidDel="00C97936">
              <w:rPr>
                <w:rFonts w:ascii="Garamond" w:hAnsi="Garamond"/>
                <w:color w:val="auto"/>
                <w:sz w:val="20"/>
                <w:szCs w:val="20"/>
                <w:lang w:eastAsia="en-US"/>
              </w:rPr>
              <w:t xml:space="preserve"> </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w:t>
            </w:r>
          </w:p>
          <w:p w:rsidR="00C97936" w:rsidRPr="000B14DE" w:rsidRDefault="00C97936"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Response rate of 85.7%.</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O’Brien S.F, </w:t>
            </w:r>
            <w:r w:rsidRPr="000B14DE">
              <w:rPr>
                <w:rFonts w:ascii="Garamond" w:hAnsi="Garamond"/>
                <w:i/>
                <w:color w:val="auto"/>
                <w:sz w:val="20"/>
                <w:szCs w:val="20"/>
                <w:lang w:eastAsia="en-US"/>
              </w:rPr>
              <w:t>et al 2008</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1993 through 1994 and in 2005 through 2006</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Blood donors in Canada</w:t>
            </w:r>
          </w:p>
        </w:tc>
        <w:tc>
          <w:tcPr>
            <w:tcW w:w="1418" w:type="dxa"/>
          </w:tcPr>
          <w:p w:rsidR="00006F4D" w:rsidRPr="000B14DE" w:rsidRDefault="00006F4D" w:rsidP="002950E4">
            <w:pPr>
              <w:spacing w:line="360" w:lineRule="auto"/>
              <w:rPr>
                <w:rFonts w:ascii="Garamond" w:hAnsi="Garamond"/>
                <w:color w:val="auto"/>
                <w:sz w:val="20"/>
                <w:szCs w:val="20"/>
                <w:lang w:eastAsia="en-US"/>
              </w:rPr>
            </w:pP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Case-control </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HCV</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Hepatitis</w:t>
            </w:r>
            <w:r w:rsidR="00D759C4" w:rsidRPr="000B14DE">
              <w:rPr>
                <w:rFonts w:ascii="Garamond" w:hAnsi="Garamond"/>
                <w:color w:val="auto"/>
                <w:sz w:val="20"/>
                <w:szCs w:val="20"/>
                <w:lang w:eastAsia="en-US"/>
              </w:rPr>
              <w:t xml:space="preserve"> C infection associated with </w:t>
            </w:r>
            <w:r w:rsidRPr="000B14DE">
              <w:rPr>
                <w:rFonts w:ascii="Garamond" w:hAnsi="Garamond"/>
                <w:color w:val="auto"/>
                <w:sz w:val="20"/>
                <w:szCs w:val="20"/>
                <w:lang w:eastAsia="en-US"/>
              </w:rPr>
              <w:t xml:space="preserve">tattooing. </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History of intravenous drug use, sex with an intravenous drug user, blood transfusion, and tattoo independently predicted (p &lt; 0.01) HCV positivity in both periods (1993--1994 and 2005--2006).</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bias</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val="fr-FR" w:eastAsia="en-US"/>
              </w:rPr>
            </w:pPr>
            <w:r w:rsidRPr="000B14DE">
              <w:rPr>
                <w:rFonts w:ascii="Garamond" w:hAnsi="Garamond"/>
                <w:color w:val="auto"/>
                <w:sz w:val="20"/>
                <w:szCs w:val="20"/>
                <w:lang w:val="fr-FR" w:eastAsia="en-US"/>
              </w:rPr>
              <w:t xml:space="preserve">Silverman A.L, </w:t>
            </w:r>
            <w:r w:rsidRPr="000B14DE">
              <w:rPr>
                <w:rFonts w:ascii="Garamond" w:hAnsi="Garamond"/>
                <w:i/>
                <w:color w:val="auto"/>
                <w:sz w:val="20"/>
                <w:szCs w:val="20"/>
                <w:lang w:val="fr-FR" w:eastAsia="en-US"/>
              </w:rPr>
              <w:t>et al 2000</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Hospital outpatient clinic or emergency centre in USA, over a 6-month period.</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212 patients, patients aged 18 to 55 yr.</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study.</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Tattoo not associated with chronic HCV</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106 (50%) had tattoos. Patients with tattoos were more likely to have a history of body piercing and more than five sexual partners than were patients without tattoos. </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Selection bias, non random/convenient selection,  No power calculation,</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Sun D-X, </w:t>
            </w:r>
            <w:r w:rsidRPr="000B14DE">
              <w:rPr>
                <w:rFonts w:ascii="Garamond" w:hAnsi="Garamond"/>
                <w:i/>
                <w:color w:val="auto"/>
                <w:sz w:val="20"/>
                <w:szCs w:val="20"/>
                <w:lang w:eastAsia="en-US"/>
              </w:rPr>
              <w:t>et al 1996</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1996</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Salons in China</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Three cases-21-26 year old women</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series</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Tattoo associated with chronic HCV</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Cosmetic tattooing of eyebrows and eyelids.</w:t>
            </w:r>
            <w:r w:rsidRPr="000B14DE">
              <w:rPr>
                <w:rFonts w:ascii="Garamond" w:hAnsi="Garamond"/>
                <w:color w:val="auto"/>
                <w:sz w:val="22"/>
                <w:szCs w:val="22"/>
                <w:lang w:eastAsia="en-US"/>
              </w:rPr>
              <w:t xml:space="preserve"> </w:t>
            </w:r>
            <w:r w:rsidRPr="000B14DE">
              <w:rPr>
                <w:rFonts w:ascii="Garamond" w:hAnsi="Garamond"/>
                <w:color w:val="auto"/>
                <w:sz w:val="20"/>
                <w:szCs w:val="20"/>
                <w:lang w:eastAsia="en-US"/>
              </w:rPr>
              <w:t>Tattooing needles are non-disposable and only sterilised with 70% alcohol.</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Subjective study</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Tsang THF, </w:t>
            </w:r>
            <w:r w:rsidRPr="000B14DE">
              <w:rPr>
                <w:rFonts w:ascii="Garamond" w:hAnsi="Garamond"/>
                <w:i/>
                <w:color w:val="auto"/>
                <w:sz w:val="20"/>
                <w:szCs w:val="20"/>
                <w:lang w:eastAsia="en-US"/>
              </w:rPr>
              <w:t>et al 2001</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1998</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Prison in the US</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Single case-24 year old inmate</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report</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HCV</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Use of a 'homemade' tattoo gun.</w:t>
            </w:r>
          </w:p>
          <w:p w:rsidR="00006F4D" w:rsidRPr="000B14DE" w:rsidRDefault="00006F4D" w:rsidP="002950E4">
            <w:pPr>
              <w:spacing w:line="360" w:lineRule="auto"/>
              <w:rPr>
                <w:rFonts w:ascii="Garamond" w:hAnsi="Garamond"/>
                <w:color w:val="auto"/>
                <w:sz w:val="20"/>
                <w:szCs w:val="20"/>
                <w:lang w:eastAsia="en-US"/>
              </w:rPr>
            </w:pP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Subjective study</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Viswanathan U., </w:t>
            </w:r>
            <w:r w:rsidRPr="000B14DE">
              <w:rPr>
                <w:rFonts w:ascii="Garamond" w:hAnsi="Garamond"/>
                <w:i/>
                <w:color w:val="auto"/>
                <w:sz w:val="20"/>
                <w:szCs w:val="20"/>
                <w:lang w:eastAsia="en-US"/>
              </w:rPr>
              <w:t xml:space="preserve">et al., 2011 </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2008</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Prison in the UK</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Single case-28 year old inmate</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report</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HBV</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Probably shared a 'homemade' tattoo gun</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Subjective study</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Samuel, M. C.</w:t>
            </w:r>
            <w:r w:rsidRPr="000B14DE">
              <w:rPr>
                <w:rFonts w:ascii="Garamond" w:hAnsi="Garamond"/>
                <w:i/>
                <w:color w:val="auto"/>
                <w:sz w:val="20"/>
                <w:szCs w:val="20"/>
                <w:lang w:eastAsia="en-US"/>
              </w:rPr>
              <w:t>et al 2001</w:t>
            </w:r>
            <w:r w:rsidRPr="000B14DE">
              <w:rPr>
                <w:rFonts w:ascii="Garamond" w:hAnsi="Garamond"/>
                <w:color w:val="auto"/>
                <w:sz w:val="20"/>
                <w:szCs w:val="20"/>
                <w:lang w:eastAsia="en-US"/>
              </w:rPr>
              <w:t xml:space="preserve"> </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1995-7</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Street-recruited injecting drug users in New Mexico, USA</w:t>
            </w:r>
          </w:p>
        </w:tc>
        <w:tc>
          <w:tcPr>
            <w:tcW w:w="1418" w:type="dxa"/>
          </w:tcPr>
          <w:p w:rsidR="00006F4D"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1062 individuals, 1003 IDUs and others partners of IDUs-Participants were primarily Hispanic (73±3%), male (72±5%), and with median age 37 years</w:t>
            </w:r>
            <w:r w:rsidRPr="000B14DE">
              <w:rPr>
                <w:rFonts w:ascii="Garamond" w:hAnsi="Garamond"/>
                <w:color w:val="auto"/>
                <w:sz w:val="20"/>
                <w:szCs w:val="20"/>
                <w:lang w:eastAsia="en-US"/>
              </w:rPr>
              <w:br/>
              <w:t>(range 15±68, interquartile range 30±43)</w:t>
            </w:r>
          </w:p>
          <w:p w:rsidR="002F6805" w:rsidRPr="000B14DE" w:rsidRDefault="002F6805" w:rsidP="002950E4">
            <w:pPr>
              <w:spacing w:line="360" w:lineRule="auto"/>
              <w:rPr>
                <w:rFonts w:ascii="Garamond" w:hAnsi="Garamond"/>
                <w:color w:val="auto"/>
                <w:sz w:val="20"/>
                <w:szCs w:val="20"/>
                <w:lang w:eastAsia="en-US"/>
              </w:rPr>
            </w:pP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study.</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HBV</w:t>
            </w:r>
          </w:p>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HCV</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 significant association was also observed with having received tattoos in jail/prison (OR for HBV 2.3, 95% CI</w:t>
            </w:r>
            <w:r w:rsidR="00287A67">
              <w:rPr>
                <w:rFonts w:ascii="Garamond" w:hAnsi="Garamond"/>
                <w:color w:val="auto"/>
                <w:sz w:val="20"/>
                <w:szCs w:val="20"/>
                <w:lang w:eastAsia="en-US"/>
              </w:rPr>
              <w:t>;</w:t>
            </w:r>
            <w:r w:rsidRPr="000B14DE">
              <w:rPr>
                <w:rFonts w:ascii="Garamond" w:hAnsi="Garamond"/>
                <w:color w:val="auto"/>
                <w:sz w:val="20"/>
                <w:szCs w:val="20"/>
                <w:lang w:eastAsia="en-US"/>
              </w:rPr>
              <w:t>1.4-3.8 and OR for HCV 3.4, 95% CI 1.6-7.5).</w:t>
            </w:r>
            <w:r w:rsidRPr="000B14DE">
              <w:rPr>
                <w:rFonts w:ascii="Garamond" w:hAnsi="Garamond"/>
                <w:color w:val="auto"/>
                <w:sz w:val="22"/>
                <w:szCs w:val="22"/>
                <w:lang w:eastAsia="en-US"/>
              </w:rPr>
              <w:t xml:space="preserve"> </w:t>
            </w:r>
            <w:r w:rsidRPr="000B14DE">
              <w:rPr>
                <w:rFonts w:ascii="Garamond" w:hAnsi="Garamond"/>
                <w:color w:val="auto"/>
                <w:sz w:val="20"/>
                <w:szCs w:val="20"/>
                <w:lang w:eastAsia="en-US"/>
              </w:rPr>
              <w:t xml:space="preserve">Tattooing linked </w:t>
            </w:r>
            <w:r w:rsidRPr="000B14DE">
              <w:rPr>
                <w:rFonts w:ascii="Garamond" w:hAnsi="Garamond"/>
                <w:color w:val="auto"/>
                <w:sz w:val="20"/>
                <w:szCs w:val="20"/>
                <w:highlight w:val="yellow"/>
                <w:lang w:eastAsia="en-US"/>
              </w:rPr>
              <w:t>to prison- unhygienic setting</w:t>
            </w:r>
            <w:r w:rsidRPr="000B14DE">
              <w:rPr>
                <w:rFonts w:ascii="Garamond" w:hAnsi="Garamond"/>
                <w:color w:val="auto"/>
                <w:sz w:val="20"/>
                <w:szCs w:val="20"/>
                <w:lang w:eastAsia="en-US"/>
              </w:rPr>
              <w:t>.</w:t>
            </w:r>
            <w:r w:rsidRPr="000B14DE">
              <w:rPr>
                <w:rFonts w:ascii="Garamond" w:hAnsi="Garamond"/>
                <w:color w:val="auto"/>
                <w:sz w:val="22"/>
                <w:szCs w:val="22"/>
                <w:lang w:eastAsia="en-US"/>
              </w:rPr>
              <w:t xml:space="preserve"> </w:t>
            </w:r>
            <w:r w:rsidRPr="000B14DE">
              <w:rPr>
                <w:rFonts w:ascii="Garamond" w:hAnsi="Garamond"/>
                <w:color w:val="auto"/>
                <w:sz w:val="20"/>
                <w:szCs w:val="20"/>
                <w:lang w:eastAsia="en-US"/>
              </w:rPr>
              <w:t>Ninety percent of the IDUs reported sharing injection equipment. Tattoos were very common (74.6%) with most tattoos received from a friend or self (50.6%) and many received inside jail or prison (37.6%).</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Selection bias, responder’s bias and recall bias. Non random.</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Shebani,  S. O. </w:t>
            </w:r>
            <w:r w:rsidRPr="000B14DE">
              <w:rPr>
                <w:rFonts w:ascii="Garamond" w:hAnsi="Garamond"/>
                <w:i/>
                <w:color w:val="auto"/>
                <w:sz w:val="20"/>
                <w:szCs w:val="20"/>
                <w:lang w:eastAsia="en-US"/>
              </w:rPr>
              <w:t xml:space="preserve">et al  </w:t>
            </w:r>
            <w:r w:rsidRPr="000B14DE">
              <w:rPr>
                <w:rFonts w:ascii="Garamond" w:hAnsi="Garamond" w:cs="Arial"/>
                <w:i/>
                <w:color w:val="auto"/>
                <w:sz w:val="18"/>
                <w:szCs w:val="18"/>
                <w:lang w:eastAsia="en-US"/>
              </w:rPr>
              <w:t xml:space="preserve"> </w:t>
            </w:r>
            <w:r w:rsidRPr="000B14DE">
              <w:rPr>
                <w:rFonts w:ascii="Garamond" w:hAnsi="Garamond"/>
                <w:i/>
                <w:color w:val="auto"/>
                <w:sz w:val="20"/>
                <w:szCs w:val="20"/>
                <w:lang w:eastAsia="en-US"/>
              </w:rPr>
              <w:t>2007</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March and May 2004</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Patients attending cardiology clinics and  consultants paediatric cardiology in the United Kingdom</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600 patients with underlying cardiac conditions and 68 clinicians-486 (81%) responded, age range (4 weeks–38 years) and Sixty two (91%) of the 68 consultants.</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Cross sectional study.</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Infective endocarditis associated with those with body art.</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Majority not aware of the risk of endocarditis associated with tattooing and body piercing among patients with congenital heart disease and paediatric cardiologists in the United Kingdom- Fifty four (62%) patients out of 78.</w:t>
            </w:r>
            <w:r w:rsidRPr="000B14DE">
              <w:rPr>
                <w:rFonts w:ascii="Garamond" w:hAnsi="Garamond"/>
                <w:color w:val="auto"/>
                <w:sz w:val="22"/>
                <w:szCs w:val="22"/>
                <w:lang w:eastAsia="en-US"/>
              </w:rPr>
              <w:t xml:space="preserve"> </w:t>
            </w:r>
            <w:r w:rsidRPr="000B14DE">
              <w:rPr>
                <w:rFonts w:ascii="Garamond" w:hAnsi="Garamond"/>
                <w:color w:val="auto"/>
                <w:sz w:val="20"/>
                <w:szCs w:val="20"/>
                <w:lang w:eastAsia="en-US"/>
              </w:rPr>
              <w:t>A total of 87 (17.9%) children had body art: 86 had body piercing (78 ears, one eyebrow, four nasals, three umbilical) with a mean age of 12 years and one had a tattoo at 15 years.</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Selection bias, responder’s bias and recall bias. Non random.</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val="fr-FR" w:eastAsia="en-US"/>
              </w:rPr>
            </w:pPr>
            <w:r w:rsidRPr="000B14DE">
              <w:rPr>
                <w:rFonts w:ascii="Garamond" w:hAnsi="Garamond"/>
                <w:color w:val="auto"/>
                <w:sz w:val="20"/>
                <w:szCs w:val="20"/>
                <w:lang w:val="fr-FR" w:eastAsia="en-US"/>
              </w:rPr>
              <w:t xml:space="preserve">Brillman,  J.C. </w:t>
            </w:r>
            <w:r w:rsidRPr="000B14DE">
              <w:rPr>
                <w:rFonts w:ascii="Garamond" w:hAnsi="Garamond"/>
                <w:i/>
                <w:color w:val="auto"/>
                <w:sz w:val="20"/>
                <w:szCs w:val="20"/>
                <w:lang w:val="fr-FR" w:eastAsia="en-US"/>
              </w:rPr>
              <w:t>et al</w:t>
            </w:r>
            <w:r w:rsidRPr="000B14DE">
              <w:rPr>
                <w:rFonts w:ascii="Garamond" w:hAnsi="Garamond"/>
                <w:color w:val="auto"/>
                <w:sz w:val="20"/>
                <w:szCs w:val="20"/>
                <w:lang w:val="fr-FR" w:eastAsia="en-US"/>
              </w:rPr>
              <w:t xml:space="preserve"> </w:t>
            </w:r>
            <w:r w:rsidRPr="000B14DE">
              <w:rPr>
                <w:rFonts w:ascii="Garamond" w:hAnsi="Garamond"/>
                <w:i/>
                <w:color w:val="auto"/>
                <w:sz w:val="20"/>
                <w:szCs w:val="20"/>
                <w:lang w:val="fr-FR" w:eastAsia="en-US"/>
              </w:rPr>
              <w:t>200</w:t>
            </w:r>
            <w:r w:rsidR="001E6DD0">
              <w:rPr>
                <w:rFonts w:ascii="Garamond" w:hAnsi="Garamond"/>
                <w:i/>
                <w:color w:val="auto"/>
                <w:sz w:val="20"/>
                <w:szCs w:val="20"/>
                <w:lang w:val="fr-FR" w:eastAsia="en-US"/>
              </w:rPr>
              <w:t>2</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October,1996</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Hospital emergency in USA</w:t>
            </w:r>
            <w:r w:rsidRPr="000B14DE">
              <w:rPr>
                <w:rFonts w:ascii="Garamond" w:hAnsi="Garamond"/>
                <w:color w:val="auto"/>
                <w:sz w:val="20"/>
                <w:szCs w:val="20"/>
                <w:lang w:eastAsia="en-US"/>
              </w:rPr>
              <w:br/>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121 patients </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Control</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HCV</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 xml:space="preserve">Nearly all (17/19, 89.5%) of survey participants who reported IDU were HCV </w:t>
            </w:r>
            <w:r w:rsidR="00D759C4" w:rsidRPr="000B14DE">
              <w:rPr>
                <w:rFonts w:ascii="Garamond" w:hAnsi="Garamond"/>
                <w:color w:val="auto"/>
                <w:sz w:val="20"/>
                <w:szCs w:val="20"/>
                <w:lang w:eastAsia="en-US"/>
              </w:rPr>
              <w:t>positive</w:t>
            </w:r>
            <w:r w:rsidR="005554F4" w:rsidRPr="000B14DE">
              <w:rPr>
                <w:rFonts w:ascii="Garamond" w:hAnsi="Garamond"/>
                <w:color w:val="auto"/>
                <w:sz w:val="20"/>
                <w:szCs w:val="20"/>
                <w:lang w:eastAsia="en-US"/>
              </w:rPr>
              <w:t xml:space="preserve"> </w:t>
            </w:r>
            <w:r w:rsidRPr="000B14DE">
              <w:rPr>
                <w:rFonts w:ascii="Garamond" w:hAnsi="Garamond"/>
                <w:color w:val="auto"/>
                <w:sz w:val="20"/>
                <w:szCs w:val="20"/>
                <w:lang w:eastAsia="en-US"/>
              </w:rPr>
              <w:t>(OR 858.5, 95% CI 61.8-22,026.5).Other drug use, including intranasal cocaine (OR 15.6, CI 3.9-88.4), a history of smoking crack cocaine (OR 5.9, CI 1.7-19.5), and marijuana use (OR 19.7, CI 2.8-842.6) were associated with HCV. Survey participants who reported having a tattoo (OR 6.3, CI 1.9-24.3),sexual contact with injection drug users (OR 12.4, CI 3.3-46.9), a history of incarceration (OR 12.4, CI 2.4-66.3), and a history of hepatitis B viral infection (OR 10.8, CI 1.1- 135.3) were also associated with HCV_</w:t>
            </w:r>
            <w:r w:rsidR="005554F4" w:rsidRPr="000B14DE">
              <w:rPr>
                <w:rFonts w:ascii="Garamond" w:hAnsi="Garamond"/>
                <w:color w:val="auto"/>
                <w:sz w:val="20"/>
                <w:szCs w:val="20"/>
                <w:lang w:eastAsia="en-US"/>
              </w:rPr>
              <w:t>?</w:t>
            </w:r>
            <w:r w:rsidRPr="000B14DE">
              <w:rPr>
                <w:rFonts w:ascii="Garamond" w:hAnsi="Garamond"/>
                <w:color w:val="auto"/>
                <w:sz w:val="20"/>
                <w:szCs w:val="20"/>
                <w:lang w:eastAsia="en-US"/>
              </w:rPr>
              <w:t xml:space="preserve"> serology</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Recall and response bias,?Selection bias. Power calculation- small small size for multivariate analysis</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w:t>
            </w:r>
          </w:p>
        </w:tc>
      </w:tr>
      <w:tr w:rsidR="00006F4D" w:rsidRPr="000B14DE">
        <w:tc>
          <w:tcPr>
            <w:tcW w:w="1134"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Armstrong, M.L.,</w:t>
            </w:r>
            <w:r w:rsidRPr="000B14DE">
              <w:rPr>
                <w:rFonts w:ascii="Garamond" w:hAnsi="Garamond"/>
                <w:i/>
                <w:color w:val="auto"/>
                <w:sz w:val="20"/>
                <w:szCs w:val="20"/>
                <w:lang w:eastAsia="en-US"/>
              </w:rPr>
              <w:t xml:space="preserve"> et al 2008</w:t>
            </w:r>
          </w:p>
        </w:tc>
        <w:tc>
          <w:tcPr>
            <w:tcW w:w="851"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1985–2007</w:t>
            </w:r>
          </w:p>
        </w:tc>
        <w:tc>
          <w:tcPr>
            <w:tcW w:w="99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Clinical cases</w:t>
            </w:r>
          </w:p>
        </w:tc>
        <w:tc>
          <w:tcPr>
            <w:tcW w:w="1418"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22 specific cases of Infective Endocardits-10 males, 12 female</w:t>
            </w:r>
            <w:r w:rsidRPr="000B14DE">
              <w:rPr>
                <w:rFonts w:ascii="Garamond" w:eastAsia="Arial Unicode MS" w:hAnsi="Garamond" w:cs="Arial Unicode MS"/>
                <w:color w:val="auto"/>
                <w:sz w:val="20"/>
                <w:szCs w:val="20"/>
                <w:lang w:eastAsia="en-US"/>
              </w:rPr>
              <w:t xml:space="preserve"> </w:t>
            </w:r>
            <w:r w:rsidRPr="000B14DE">
              <w:rPr>
                <w:rFonts w:ascii="Garamond" w:hAnsi="Garamond"/>
                <w:color w:val="auto"/>
                <w:sz w:val="20"/>
                <w:szCs w:val="20"/>
                <w:lang w:eastAsia="en-US"/>
              </w:rPr>
              <w:t>adolescents and young adults 15–30 years of age</w:t>
            </w:r>
          </w:p>
        </w:tc>
        <w:tc>
          <w:tcPr>
            <w:tcW w:w="1842"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Case series</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Infective endocarditis-</w:t>
            </w:r>
            <w:r w:rsidRPr="000B14DE">
              <w:rPr>
                <w:rFonts w:ascii="Garamond" w:eastAsia="Arial Unicode MS" w:hAnsi="Garamond" w:cs="Arial Unicode MS"/>
                <w:color w:val="auto"/>
                <w:sz w:val="20"/>
                <w:szCs w:val="20"/>
                <w:lang w:eastAsia="en-US"/>
              </w:rPr>
              <w:t xml:space="preserve"> </w:t>
            </w:r>
            <w:r w:rsidRPr="000B14DE">
              <w:rPr>
                <w:rFonts w:ascii="Garamond" w:eastAsia="Arial Unicode MS" w:hAnsi="Garamond" w:cs="Arial Unicode MS"/>
                <w:i/>
                <w:iCs/>
                <w:color w:val="auto"/>
                <w:sz w:val="20"/>
                <w:szCs w:val="22"/>
                <w:bdr w:val="none" w:sz="0" w:space="0" w:color="auto" w:frame="1"/>
                <w:lang w:eastAsia="en-US"/>
              </w:rPr>
              <w:t>S. aureus</w:t>
            </w:r>
          </w:p>
        </w:tc>
        <w:tc>
          <w:tcPr>
            <w:tcW w:w="3543"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Infective endocarditis caused by the following Haemophilus aphrophilus; Haemophilus parainfluenzae; Diplococcus mucosus; Staphylococcus aureus; Streptococcus constellatus; Staphylococcus epidermidis; Streptococcus viridians.</w:t>
            </w:r>
          </w:p>
        </w:tc>
        <w:tc>
          <w:tcPr>
            <w:tcW w:w="1560"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Subjective study</w:t>
            </w:r>
          </w:p>
        </w:tc>
        <w:tc>
          <w:tcPr>
            <w:tcW w:w="1166" w:type="dxa"/>
          </w:tcPr>
          <w:p w:rsidR="00006F4D" w:rsidRPr="000B14DE" w:rsidRDefault="00006F4D" w:rsidP="002950E4">
            <w:pPr>
              <w:spacing w:line="360" w:lineRule="auto"/>
              <w:rPr>
                <w:rFonts w:ascii="Garamond" w:hAnsi="Garamond"/>
                <w:color w:val="auto"/>
                <w:sz w:val="20"/>
                <w:szCs w:val="20"/>
                <w:lang w:eastAsia="en-US"/>
              </w:rPr>
            </w:pPr>
            <w:r w:rsidRPr="000B14DE">
              <w:rPr>
                <w:rFonts w:ascii="Garamond" w:hAnsi="Garamond"/>
                <w:color w:val="auto"/>
                <w:sz w:val="20"/>
                <w:szCs w:val="20"/>
                <w:lang w:eastAsia="en-US"/>
              </w:rPr>
              <w:t>3</w:t>
            </w:r>
          </w:p>
        </w:tc>
      </w:tr>
    </w:tbl>
    <w:p w:rsidR="00006F4D" w:rsidRPr="000B14DE" w:rsidRDefault="00006F4D" w:rsidP="00E61BB2">
      <w:pPr>
        <w:spacing w:line="360" w:lineRule="auto"/>
        <w:jc w:val="both"/>
        <w:rPr>
          <w:rFonts w:ascii="Garamond" w:hAnsi="Garamond"/>
          <w:b/>
          <w:color w:val="auto"/>
          <w:sz w:val="28"/>
          <w:szCs w:val="28"/>
        </w:rPr>
        <w:sectPr w:rsidR="00006F4D" w:rsidRPr="000B14DE">
          <w:endnotePr>
            <w:numFmt w:val="decimal"/>
          </w:endnotePr>
          <w:pgSz w:w="16838" w:h="11906" w:orient="landscape" w:code="9"/>
          <w:pgMar w:top="1077" w:right="1440" w:bottom="1077" w:left="1440" w:header="709" w:footer="709" w:gutter="0"/>
          <w:cols w:space="708"/>
          <w:docGrid w:linePitch="360"/>
        </w:sectPr>
      </w:pPr>
    </w:p>
    <w:p w:rsidR="00006F4D" w:rsidRPr="000B14DE" w:rsidRDefault="00006F4D" w:rsidP="000B14DE">
      <w:pPr>
        <w:pStyle w:val="Heading2"/>
        <w:spacing w:line="480" w:lineRule="auto"/>
        <w:rPr>
          <w:rFonts w:ascii="Garamond" w:hAnsi="Garamond"/>
        </w:rPr>
      </w:pPr>
      <w:bookmarkStart w:id="12" w:name="_Toc325554583"/>
      <w:r w:rsidRPr="000B14DE">
        <w:rPr>
          <w:rFonts w:ascii="Garamond" w:hAnsi="Garamond"/>
        </w:rPr>
        <w:t>History</w:t>
      </w:r>
      <w:bookmarkEnd w:id="12"/>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Although the word tattoo appears to have originated from the Tahitian word ‘tatu’, meaning ‘to mark’, the practice dates </w:t>
      </w:r>
      <w:r w:rsidR="0079559B">
        <w:rPr>
          <w:rFonts w:ascii="Garamond" w:hAnsi="Garamond"/>
          <w:color w:val="auto"/>
        </w:rPr>
        <w:t>back to Neolithic times and has</w:t>
      </w:r>
      <w:r w:rsidRPr="000B14DE">
        <w:rPr>
          <w:rFonts w:ascii="Garamond" w:hAnsi="Garamond"/>
          <w:color w:val="auto"/>
        </w:rPr>
        <w:t xml:space="preserve"> been practiced in every continent of the world</w:t>
      </w:r>
      <w:r w:rsidR="008E7A57">
        <w:rPr>
          <w:rFonts w:ascii="Garamond" w:hAnsi="Garamond"/>
          <w:color w:val="auto"/>
        </w:rPr>
        <w:t xml:space="preserve"> (Makkai and McAllister, 2001; Groom,</w:t>
      </w:r>
      <w:r w:rsidR="005A5DA4">
        <w:rPr>
          <w:rFonts w:ascii="Garamond" w:hAnsi="Garamond"/>
          <w:color w:val="auto"/>
        </w:rPr>
        <w:t xml:space="preserve"> </w:t>
      </w:r>
      <w:r w:rsidR="008E7A57">
        <w:rPr>
          <w:rFonts w:ascii="Garamond" w:hAnsi="Garamond"/>
          <w:color w:val="auto"/>
        </w:rPr>
        <w:t>2006; Cuyper and Perez-Cotapos,</w:t>
      </w:r>
      <w:r w:rsidR="005A5DA4">
        <w:rPr>
          <w:rFonts w:ascii="Garamond" w:hAnsi="Garamond"/>
          <w:color w:val="auto"/>
        </w:rPr>
        <w:t xml:space="preserve"> </w:t>
      </w:r>
      <w:r w:rsidR="008E7A57">
        <w:rPr>
          <w:rFonts w:ascii="Garamond" w:hAnsi="Garamond"/>
          <w:color w:val="auto"/>
        </w:rPr>
        <w:t>2010).</w:t>
      </w:r>
    </w:p>
    <w:p w:rsidR="00580C1B" w:rsidRDefault="00006F4D" w:rsidP="00E61BB2">
      <w:pPr>
        <w:spacing w:line="360" w:lineRule="auto"/>
        <w:jc w:val="both"/>
        <w:rPr>
          <w:rFonts w:ascii="Garamond" w:hAnsi="Garamond"/>
          <w:color w:val="auto"/>
        </w:rPr>
      </w:pPr>
      <w:r w:rsidRPr="000B14DE">
        <w:rPr>
          <w:rFonts w:ascii="Garamond" w:hAnsi="Garamond"/>
          <w:color w:val="auto"/>
        </w:rPr>
        <w:t>There is no continuous history on tattooing but it appears tattooing was widely practised during pre-historic Britain until the advent of Christianity</w:t>
      </w:r>
      <w:r w:rsidR="007B24BA">
        <w:rPr>
          <w:rFonts w:ascii="Garamond" w:hAnsi="Garamond"/>
          <w:color w:val="auto"/>
        </w:rPr>
        <w:t xml:space="preserve"> (</w:t>
      </w:r>
      <w:r w:rsidR="00397EE3" w:rsidRPr="003D584D">
        <w:rPr>
          <w:rFonts w:ascii="Garamond" w:hAnsi="Garamond"/>
        </w:rPr>
        <w:t xml:space="preserve">Deschesnes </w:t>
      </w:r>
      <w:r w:rsidR="00397EE3">
        <w:rPr>
          <w:rFonts w:ascii="Garamond" w:hAnsi="Garamond"/>
        </w:rPr>
        <w:t>et al 2006;</w:t>
      </w:r>
      <w:r w:rsidR="00397EE3" w:rsidRPr="00397EE3">
        <w:rPr>
          <w:rFonts w:ascii="Garamond" w:hAnsi="Garamond" w:cs="Helvetica"/>
          <w:color w:val="auto"/>
          <w:lang w:val="en-US" w:eastAsia="en-US"/>
        </w:rPr>
        <w:t xml:space="preserve"> </w:t>
      </w:r>
      <w:r w:rsidR="00397EE3" w:rsidRPr="003D584D">
        <w:rPr>
          <w:rFonts w:ascii="Garamond" w:hAnsi="Garamond" w:cs="Helvetica"/>
          <w:color w:val="auto"/>
          <w:lang w:val="en-US" w:eastAsia="en-US"/>
        </w:rPr>
        <w:t>Groom</w:t>
      </w:r>
      <w:r w:rsidR="00397EE3">
        <w:rPr>
          <w:rFonts w:ascii="Garamond" w:hAnsi="Garamond" w:cs="Helvetica"/>
          <w:color w:val="auto"/>
          <w:lang w:val="en-US" w:eastAsia="en-US"/>
        </w:rPr>
        <w:t>, 2006</w:t>
      </w:r>
      <w:r w:rsidR="00397EE3">
        <w:rPr>
          <w:rFonts w:ascii="Garamond" w:hAnsi="Garamond"/>
        </w:rPr>
        <w:t>; Armstrong</w:t>
      </w:r>
      <w:r w:rsidR="00397EE3" w:rsidRPr="003D584D">
        <w:rPr>
          <w:rFonts w:ascii="Garamond" w:hAnsi="Garamond"/>
        </w:rPr>
        <w:t xml:space="preserve"> </w:t>
      </w:r>
      <w:r w:rsidR="00397EE3">
        <w:rPr>
          <w:rFonts w:ascii="Garamond" w:hAnsi="Garamond"/>
        </w:rPr>
        <w:t>et al., 2007;</w:t>
      </w:r>
      <w:r w:rsidR="00397EE3" w:rsidRPr="003D584D">
        <w:rPr>
          <w:rFonts w:ascii="Garamond" w:hAnsi="Garamond"/>
        </w:rPr>
        <w:t xml:space="preserve"> Cuyper and Perez-Cotapos</w:t>
      </w:r>
      <w:r w:rsidR="00397EE3">
        <w:rPr>
          <w:rFonts w:ascii="Garamond" w:hAnsi="Garamond"/>
        </w:rPr>
        <w:t>, 2010;</w:t>
      </w:r>
      <w:r w:rsidR="007B24BA">
        <w:rPr>
          <w:rFonts w:ascii="Garamond" w:hAnsi="Garamond"/>
          <w:color w:val="auto"/>
        </w:rPr>
        <w:t xml:space="preserve"> </w:t>
      </w:r>
      <w:r w:rsidR="00397EE3" w:rsidRPr="003D584D">
        <w:rPr>
          <w:rFonts w:ascii="Garamond" w:hAnsi="Garamond"/>
        </w:rPr>
        <w:t xml:space="preserve">Jafari </w:t>
      </w:r>
      <w:r w:rsidR="00397EE3">
        <w:rPr>
          <w:rFonts w:ascii="Garamond" w:hAnsi="Garamond"/>
        </w:rPr>
        <w:t>et al</w:t>
      </w:r>
      <w:r w:rsidR="00397EE3" w:rsidRPr="003D584D">
        <w:rPr>
          <w:rFonts w:ascii="Garamond" w:hAnsi="Garamond"/>
        </w:rPr>
        <w:t>.</w:t>
      </w:r>
      <w:r w:rsidR="001B2F04">
        <w:rPr>
          <w:rFonts w:ascii="Garamond" w:hAnsi="Garamond"/>
        </w:rPr>
        <w:t>,</w:t>
      </w:r>
      <w:r w:rsidR="001B2F04" w:rsidRPr="003D584D">
        <w:rPr>
          <w:rFonts w:ascii="Garamond" w:hAnsi="Garamond"/>
        </w:rPr>
        <w:t xml:space="preserve"> 2010</w:t>
      </w:r>
      <w:r w:rsidR="007B24BA">
        <w:rPr>
          <w:rFonts w:ascii="Garamond" w:hAnsi="Garamond"/>
          <w:color w:val="auto"/>
        </w:rPr>
        <w:t>)</w:t>
      </w:r>
      <w:r w:rsidRPr="000B14DE">
        <w:rPr>
          <w:rFonts w:ascii="Garamond" w:hAnsi="Garamond"/>
          <w:color w:val="auto"/>
        </w:rPr>
        <w:t>. Some authors even claim that the ‘Picts’ (original inhabitants of northern Britain) literally meant ‘the painted people” and that Britain, meaning ‘people of design’ derived it name from tattoo</w:t>
      </w:r>
      <w:r w:rsidR="001B2F04">
        <w:rPr>
          <w:rFonts w:ascii="Garamond" w:hAnsi="Garamond"/>
          <w:color w:val="auto"/>
        </w:rPr>
        <w:t xml:space="preserve"> and that the British are the most tattooed people in Europe</w:t>
      </w:r>
      <w:r w:rsidR="007B24BA">
        <w:rPr>
          <w:rFonts w:ascii="Garamond" w:hAnsi="Garamond"/>
          <w:color w:val="auto"/>
        </w:rPr>
        <w:t xml:space="preserve"> (</w:t>
      </w:r>
      <w:r w:rsidR="00397EE3" w:rsidRPr="003D584D">
        <w:rPr>
          <w:rFonts w:ascii="Garamond" w:hAnsi="Garamond" w:cs="Helvetica"/>
          <w:color w:val="auto"/>
          <w:lang w:val="en-US" w:eastAsia="en-US"/>
        </w:rPr>
        <w:t>Groom</w:t>
      </w:r>
      <w:r w:rsidR="001B2F04">
        <w:rPr>
          <w:rFonts w:ascii="Garamond" w:hAnsi="Garamond" w:cs="Helvetica"/>
          <w:color w:val="auto"/>
          <w:lang w:val="en-US" w:eastAsia="en-US"/>
        </w:rPr>
        <w:t>, 2006; Wikipedia, 2012</w:t>
      </w:r>
      <w:r w:rsidR="007B24BA">
        <w:rPr>
          <w:rFonts w:ascii="Garamond" w:hAnsi="Garamond"/>
          <w:color w:val="auto"/>
        </w:rPr>
        <w:t>)</w:t>
      </w:r>
      <w:r w:rsidRPr="000B14DE">
        <w:rPr>
          <w:rFonts w:ascii="Garamond" w:hAnsi="Garamond"/>
          <w:color w:val="auto"/>
        </w:rPr>
        <w:t>.</w:t>
      </w:r>
      <w:r w:rsidR="008C2851">
        <w:rPr>
          <w:rFonts w:ascii="Garamond" w:hAnsi="Garamond"/>
          <w:color w:val="auto"/>
        </w:rPr>
        <w:t xml:space="preserve">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Tattoos were mainly associated with various cultural and societal attributes, often times conducted as a mark of status, belonging, religious affiliation, bravery, fertility, love, aesthetics, punishment and conquest</w:t>
      </w:r>
      <w:r w:rsidR="007B24BA">
        <w:rPr>
          <w:rFonts w:ascii="Garamond" w:hAnsi="Garamond"/>
          <w:color w:val="auto"/>
        </w:rPr>
        <w:t xml:space="preserve"> (</w:t>
      </w:r>
      <w:r w:rsidR="001B2F04">
        <w:rPr>
          <w:rFonts w:ascii="Garamond" w:hAnsi="Garamond"/>
        </w:rPr>
        <w:t xml:space="preserve">Makkai and McAllister, 2001; </w:t>
      </w:r>
      <w:r w:rsidR="001B2F04" w:rsidRPr="003D584D">
        <w:rPr>
          <w:rFonts w:ascii="Garamond" w:hAnsi="Garamond"/>
        </w:rPr>
        <w:t>Cuyper and Perez-Cotapos</w:t>
      </w:r>
      <w:r w:rsidR="001B2F04">
        <w:rPr>
          <w:rFonts w:ascii="Garamond" w:hAnsi="Garamond"/>
        </w:rPr>
        <w:t>, 2010;</w:t>
      </w:r>
      <w:r w:rsidR="001B2F04" w:rsidRPr="001B2F04">
        <w:rPr>
          <w:rFonts w:ascii="Garamond" w:hAnsi="Garamond"/>
        </w:rPr>
        <w:t xml:space="preserve"> </w:t>
      </w:r>
      <w:r w:rsidR="001B2F04" w:rsidRPr="00FA0D9E">
        <w:rPr>
          <w:rFonts w:ascii="Garamond" w:hAnsi="Garamond"/>
          <w:lang w:val="it-IT"/>
        </w:rPr>
        <w:t>Sidoti,</w:t>
      </w:r>
      <w:r w:rsidR="001B2F04" w:rsidRPr="00110BF0">
        <w:rPr>
          <w:rFonts w:ascii="Garamond" w:hAnsi="Garamond"/>
        </w:rPr>
        <w:t xml:space="preserve"> </w:t>
      </w:r>
      <w:r w:rsidR="001B2F04">
        <w:rPr>
          <w:rFonts w:ascii="Garamond" w:hAnsi="Garamond"/>
        </w:rPr>
        <w:t>et al</w:t>
      </w:r>
      <w:r w:rsidR="008C2851">
        <w:rPr>
          <w:rFonts w:ascii="Garamond" w:hAnsi="Garamond"/>
        </w:rPr>
        <w:t>.,</w:t>
      </w:r>
      <w:r w:rsidR="001B2F04">
        <w:rPr>
          <w:rFonts w:ascii="Garamond" w:hAnsi="Garamond"/>
        </w:rPr>
        <w:t xml:space="preserve"> 2010</w:t>
      </w:r>
      <w:r w:rsidR="007B24BA">
        <w:rPr>
          <w:rFonts w:ascii="Garamond" w:hAnsi="Garamond"/>
          <w:color w:val="auto"/>
        </w:rPr>
        <w:t>)</w:t>
      </w:r>
      <w:r w:rsidRPr="000B14DE">
        <w:rPr>
          <w:rFonts w:ascii="Garamond" w:hAnsi="Garamond"/>
          <w:color w:val="auto"/>
        </w:rPr>
        <w:t>.</w:t>
      </w:r>
      <w:r w:rsidR="008C2851" w:rsidRPr="000B14DE">
        <w:rPr>
          <w:rFonts w:ascii="Garamond" w:hAnsi="Garamond"/>
          <w:color w:val="auto"/>
        </w:rPr>
        <w:t xml:space="preserve"> </w:t>
      </w:r>
    </w:p>
    <w:p w:rsidR="0025530F" w:rsidRDefault="00006F4D" w:rsidP="00E61BB2">
      <w:pPr>
        <w:spacing w:line="360" w:lineRule="auto"/>
        <w:jc w:val="both"/>
        <w:rPr>
          <w:rFonts w:ascii="Garamond" w:hAnsi="Garamond"/>
          <w:color w:val="auto"/>
        </w:rPr>
      </w:pPr>
      <w:r w:rsidRPr="000B14DE">
        <w:rPr>
          <w:rFonts w:ascii="Garamond" w:hAnsi="Garamond"/>
          <w:color w:val="auto"/>
        </w:rPr>
        <w:t>Tattooi</w:t>
      </w:r>
      <w:r w:rsidR="001B2F04">
        <w:rPr>
          <w:rFonts w:ascii="Garamond" w:hAnsi="Garamond"/>
          <w:color w:val="auto"/>
        </w:rPr>
        <w:t xml:space="preserve">ng has since resurged, </w:t>
      </w:r>
      <w:r w:rsidRPr="000B14DE">
        <w:rPr>
          <w:rFonts w:ascii="Garamond" w:hAnsi="Garamond"/>
          <w:color w:val="auto"/>
        </w:rPr>
        <w:t>mostly used for aesthetic and self expression purposes, and has been observed amongst people of all ages, classes and occupation with society now polarised between tattooing as aesthetic/cosmetic or a sign of deviant and carefree behaviour, although the former view appears to be gaining greater ground</w:t>
      </w:r>
      <w:r w:rsidR="007B24BA">
        <w:rPr>
          <w:rFonts w:ascii="Garamond" w:hAnsi="Garamond"/>
          <w:color w:val="auto"/>
        </w:rPr>
        <w:t xml:space="preserve"> (</w:t>
      </w:r>
      <w:r w:rsidR="001B2F04">
        <w:rPr>
          <w:rFonts w:ascii="Garamond" w:hAnsi="Garamond"/>
        </w:rPr>
        <w:t>Armstrong and Murphy,</w:t>
      </w:r>
      <w:r w:rsidR="001B2F04" w:rsidRPr="00110BF0">
        <w:rPr>
          <w:rFonts w:ascii="Garamond" w:hAnsi="Garamond"/>
        </w:rPr>
        <w:t xml:space="preserve"> </w:t>
      </w:r>
      <w:r w:rsidR="001B2F04">
        <w:rPr>
          <w:rFonts w:ascii="Garamond" w:hAnsi="Garamond"/>
        </w:rPr>
        <w:t>1997;</w:t>
      </w:r>
      <w:r w:rsidR="001B2F04" w:rsidRPr="001B2F04">
        <w:rPr>
          <w:rFonts w:ascii="Garamond" w:hAnsi="Garamond"/>
        </w:rPr>
        <w:t xml:space="preserve"> </w:t>
      </w:r>
      <w:r w:rsidR="001B2F04">
        <w:rPr>
          <w:rFonts w:ascii="Garamond" w:hAnsi="Garamond"/>
        </w:rPr>
        <w:t>Makkai and McAllister, 2001;</w:t>
      </w:r>
      <w:r w:rsidR="001B2F04" w:rsidRPr="001B2F04">
        <w:rPr>
          <w:rFonts w:ascii="Garamond" w:hAnsi="Garamond"/>
        </w:rPr>
        <w:t xml:space="preserve"> </w:t>
      </w:r>
      <w:r w:rsidR="001B2F04">
        <w:rPr>
          <w:rFonts w:ascii="Garamond" w:hAnsi="Garamond"/>
        </w:rPr>
        <w:t xml:space="preserve">Armstrong et al., </w:t>
      </w:r>
      <w:r w:rsidR="001B2F04" w:rsidRPr="003D584D">
        <w:rPr>
          <w:rFonts w:ascii="Garamond" w:hAnsi="Garamond"/>
        </w:rPr>
        <w:t>2004</w:t>
      </w:r>
      <w:r w:rsidR="001B2F04">
        <w:rPr>
          <w:rFonts w:ascii="Garamond" w:hAnsi="Garamond"/>
        </w:rPr>
        <w:t>;</w:t>
      </w:r>
      <w:r w:rsidR="001B2F04" w:rsidRPr="001B2F04">
        <w:rPr>
          <w:rFonts w:ascii="Garamond" w:hAnsi="Garamond"/>
        </w:rPr>
        <w:t xml:space="preserve"> </w:t>
      </w:r>
      <w:r w:rsidR="001B2F04">
        <w:rPr>
          <w:rFonts w:ascii="Garamond" w:hAnsi="Garamond"/>
        </w:rPr>
        <w:t>Benjamins</w:t>
      </w:r>
      <w:r w:rsidR="001B2F04" w:rsidRPr="007917F0">
        <w:rPr>
          <w:rFonts w:ascii="Garamond" w:hAnsi="Garamond"/>
        </w:rPr>
        <w:t xml:space="preserve"> </w:t>
      </w:r>
      <w:r w:rsidR="001B2F04">
        <w:rPr>
          <w:rFonts w:ascii="Garamond" w:hAnsi="Garamond"/>
        </w:rPr>
        <w:t>et al., 2006;</w:t>
      </w:r>
      <w:r w:rsidR="001B2F04" w:rsidRPr="001B2F04">
        <w:rPr>
          <w:rFonts w:ascii="Garamond" w:hAnsi="Garamond"/>
        </w:rPr>
        <w:t xml:space="preserve"> </w:t>
      </w:r>
      <w:r w:rsidR="001B2F04">
        <w:rPr>
          <w:rFonts w:ascii="Garamond" w:hAnsi="Garamond"/>
        </w:rPr>
        <w:t>Laumann and Derick,</w:t>
      </w:r>
      <w:r w:rsidR="001B2F04" w:rsidRPr="00110BF0">
        <w:rPr>
          <w:rFonts w:ascii="Garamond" w:hAnsi="Garamond"/>
        </w:rPr>
        <w:t xml:space="preserve"> </w:t>
      </w:r>
      <w:r w:rsidR="001B2F04">
        <w:rPr>
          <w:rFonts w:ascii="Garamond" w:hAnsi="Garamond"/>
        </w:rPr>
        <w:t>2006;</w:t>
      </w:r>
      <w:r w:rsidR="001B2F04" w:rsidRPr="001B2F04">
        <w:rPr>
          <w:rFonts w:ascii="Garamond" w:hAnsi="Garamond"/>
        </w:rPr>
        <w:t xml:space="preserve"> </w:t>
      </w:r>
      <w:r w:rsidR="001B2F04">
        <w:rPr>
          <w:rFonts w:ascii="Garamond" w:hAnsi="Garamond"/>
        </w:rPr>
        <w:t>Urdang</w:t>
      </w:r>
      <w:r w:rsidR="001B2F04" w:rsidRPr="003D584D">
        <w:rPr>
          <w:rFonts w:ascii="Garamond" w:hAnsi="Garamond"/>
        </w:rPr>
        <w:t xml:space="preserve"> </w:t>
      </w:r>
      <w:r w:rsidR="001B2F04">
        <w:rPr>
          <w:rFonts w:ascii="Garamond" w:hAnsi="Garamond"/>
        </w:rPr>
        <w:t>et al., 2011;</w:t>
      </w:r>
      <w:r w:rsidR="001B2F04" w:rsidRPr="001B2F04">
        <w:rPr>
          <w:rFonts w:ascii="Garamond" w:hAnsi="Garamond"/>
          <w:lang w:val="en-US"/>
        </w:rPr>
        <w:t xml:space="preserve"> </w:t>
      </w:r>
      <w:r w:rsidR="001B2F04" w:rsidRPr="003D584D">
        <w:rPr>
          <w:rFonts w:ascii="Garamond" w:hAnsi="Garamond"/>
          <w:lang w:val="en-US"/>
        </w:rPr>
        <w:t>Harris Interactive</w:t>
      </w:r>
      <w:r w:rsidR="001B2F04">
        <w:rPr>
          <w:rFonts w:ascii="Garamond" w:hAnsi="Garamond"/>
          <w:lang w:val="en-US"/>
        </w:rPr>
        <w:t>, 2012</w:t>
      </w:r>
      <w:r w:rsidR="007B24BA">
        <w:rPr>
          <w:rFonts w:ascii="Garamond" w:hAnsi="Garamond"/>
          <w:color w:val="auto"/>
        </w:rPr>
        <w:t>)</w:t>
      </w:r>
      <w:r w:rsidRPr="000B14DE">
        <w:rPr>
          <w:rFonts w:ascii="Garamond" w:hAnsi="Garamond"/>
          <w:color w:val="auto"/>
        </w:rPr>
        <w:t xml:space="preserve">.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Regardless of the rationale for tattooing and the societal norm, tattooing remains a risky practice with the potential for life threatening and irreversible complication, especi</w:t>
      </w:r>
      <w:r w:rsidR="0025530F">
        <w:rPr>
          <w:rFonts w:ascii="Garamond" w:hAnsi="Garamond"/>
          <w:color w:val="auto"/>
        </w:rPr>
        <w:t xml:space="preserve">ally when practised under unhygienic </w:t>
      </w:r>
      <w:r w:rsidR="0025530F" w:rsidRPr="000B14DE">
        <w:rPr>
          <w:rFonts w:ascii="Garamond" w:hAnsi="Garamond"/>
          <w:color w:val="auto"/>
        </w:rPr>
        <w:t>conditions</w:t>
      </w:r>
      <w:r w:rsidRPr="000B14DE">
        <w:rPr>
          <w:rFonts w:ascii="Garamond" w:hAnsi="Garamond"/>
          <w:color w:val="auto"/>
        </w:rPr>
        <w:t xml:space="preserve">. </w:t>
      </w:r>
    </w:p>
    <w:p w:rsidR="00006F4D" w:rsidRPr="000B14DE" w:rsidRDefault="00006F4D" w:rsidP="000B14DE">
      <w:pPr>
        <w:pStyle w:val="Heading2"/>
        <w:spacing w:line="480" w:lineRule="auto"/>
        <w:rPr>
          <w:rFonts w:ascii="Garamond" w:hAnsi="Garamond"/>
        </w:rPr>
      </w:pPr>
      <w:bookmarkStart w:id="13" w:name="_Toc325554584"/>
      <w:r w:rsidRPr="000B14DE">
        <w:rPr>
          <w:rFonts w:ascii="Garamond" w:hAnsi="Garamond"/>
        </w:rPr>
        <w:t>Prevalence</w:t>
      </w:r>
      <w:bookmarkEnd w:id="13"/>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Majority of the </w:t>
      </w:r>
      <w:r w:rsidR="005554F4" w:rsidRPr="000B14DE">
        <w:rPr>
          <w:rFonts w:ascii="Garamond" w:hAnsi="Garamond"/>
          <w:color w:val="auto"/>
        </w:rPr>
        <w:t xml:space="preserve">published </w:t>
      </w:r>
      <w:r w:rsidRPr="000B14DE">
        <w:rPr>
          <w:rFonts w:ascii="Garamond" w:hAnsi="Garamond"/>
          <w:color w:val="auto"/>
        </w:rPr>
        <w:t xml:space="preserve">literature that provided information on prevalence of tattooing were cross sectional studies, usually with convenient sampling, conducted in developed countries. There are limited, if any, </w:t>
      </w:r>
      <w:r w:rsidR="005554F4" w:rsidRPr="000B14DE">
        <w:rPr>
          <w:rFonts w:ascii="Garamond" w:hAnsi="Garamond"/>
          <w:color w:val="auto"/>
        </w:rPr>
        <w:t xml:space="preserve">published </w:t>
      </w:r>
      <w:r w:rsidRPr="000B14DE">
        <w:rPr>
          <w:rFonts w:ascii="Garamond" w:hAnsi="Garamond"/>
          <w:color w:val="auto"/>
        </w:rPr>
        <w:t>literature on the absolute prevalence of tattooing in the UK. Prevalence of tattooing varies across other developed countries. Three recent studies conducted, two in the United States (in 2008 and another in 2012) indicated a prevalence of 21% of those aged 18 and above (an increase from 14% observed in 2008)</w:t>
      </w:r>
      <w:r w:rsidR="007B24BA">
        <w:rPr>
          <w:rFonts w:ascii="Garamond" w:hAnsi="Garamond"/>
          <w:color w:val="auto"/>
        </w:rPr>
        <w:t xml:space="preserve"> (</w:t>
      </w:r>
      <w:r w:rsidR="001750D8" w:rsidRPr="003D584D">
        <w:rPr>
          <w:rFonts w:ascii="Garamond" w:hAnsi="Garamond"/>
          <w:lang w:val="en-US"/>
        </w:rPr>
        <w:t>Harris Interactive</w:t>
      </w:r>
      <w:r w:rsidR="001750D8">
        <w:rPr>
          <w:rFonts w:ascii="Garamond" w:hAnsi="Garamond"/>
          <w:lang w:val="en-US"/>
        </w:rPr>
        <w:t>, 2012</w:t>
      </w:r>
      <w:r w:rsidR="007B24BA">
        <w:rPr>
          <w:rFonts w:ascii="Garamond" w:hAnsi="Garamond"/>
          <w:color w:val="auto"/>
        </w:rPr>
        <w:t>)</w:t>
      </w:r>
      <w:r w:rsidR="008C2851">
        <w:rPr>
          <w:rFonts w:ascii="Garamond" w:hAnsi="Garamond"/>
          <w:color w:val="auto"/>
        </w:rPr>
        <w:t>.</w:t>
      </w:r>
      <w:r w:rsidRPr="000B14DE">
        <w:rPr>
          <w:rFonts w:ascii="Garamond" w:hAnsi="Garamond"/>
          <w:color w:val="auto"/>
        </w:rPr>
        <w:t xml:space="preserve"> The second study conducted in Germany (in 2005) had a prevalence of 8.5% of those aged 14 to 93 years old</w:t>
      </w:r>
      <w:r w:rsidR="007B24BA">
        <w:rPr>
          <w:rFonts w:ascii="Garamond" w:hAnsi="Garamond"/>
          <w:color w:val="auto"/>
        </w:rPr>
        <w:t xml:space="preserve"> (</w:t>
      </w:r>
      <w:r w:rsidR="001750D8">
        <w:rPr>
          <w:rFonts w:ascii="Garamond" w:hAnsi="Garamond"/>
        </w:rPr>
        <w:t>Stirn</w:t>
      </w:r>
      <w:r w:rsidR="001750D8" w:rsidRPr="00117B78">
        <w:rPr>
          <w:rFonts w:ascii="Garamond" w:hAnsi="Garamond"/>
        </w:rPr>
        <w:t xml:space="preserve"> </w:t>
      </w:r>
      <w:r w:rsidR="001750D8">
        <w:rPr>
          <w:rFonts w:ascii="Garamond" w:hAnsi="Garamond"/>
        </w:rPr>
        <w:t>et al., 2006</w:t>
      </w:r>
      <w:r w:rsidR="007B24BA">
        <w:rPr>
          <w:rFonts w:ascii="Garamond" w:hAnsi="Garamond"/>
          <w:color w:val="auto"/>
        </w:rPr>
        <w:t>)</w:t>
      </w:r>
      <w:r w:rsidR="008C2851">
        <w:rPr>
          <w:rFonts w:ascii="Garamond" w:hAnsi="Garamond"/>
          <w:color w:val="auto"/>
        </w:rPr>
        <w:t>.</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Other articles identified conducted prevalence study amongst different age groups in different settings i.e. educational institutions, armed forces settings, clinics and </w:t>
      </w:r>
      <w:r w:rsidR="001750D8" w:rsidRPr="000B14DE">
        <w:rPr>
          <w:rFonts w:ascii="Garamond" w:hAnsi="Garamond"/>
          <w:color w:val="auto"/>
        </w:rPr>
        <w:t>prisons</w:t>
      </w:r>
      <w:r w:rsidR="001750D8">
        <w:rPr>
          <w:rFonts w:ascii="Garamond" w:hAnsi="Garamond"/>
          <w:color w:val="auto"/>
        </w:rPr>
        <w:t xml:space="preserve"> (</w:t>
      </w:r>
      <w:r w:rsidR="001750D8">
        <w:rPr>
          <w:rFonts w:ascii="Garamond" w:hAnsi="Garamond"/>
        </w:rPr>
        <w:t>Benjamins</w:t>
      </w:r>
      <w:r w:rsidR="001750D8" w:rsidRPr="007917F0">
        <w:rPr>
          <w:rFonts w:ascii="Garamond" w:hAnsi="Garamond"/>
        </w:rPr>
        <w:t xml:space="preserve"> </w:t>
      </w:r>
      <w:r w:rsidR="001750D8">
        <w:rPr>
          <w:rFonts w:ascii="Garamond" w:hAnsi="Garamond"/>
        </w:rPr>
        <w:t>et al., 2006;</w:t>
      </w:r>
      <w:r w:rsidR="001750D8" w:rsidRPr="001750D8">
        <w:rPr>
          <w:rFonts w:ascii="Garamond" w:hAnsi="Garamond"/>
        </w:rPr>
        <w:t xml:space="preserve"> </w:t>
      </w:r>
      <w:r w:rsidR="001750D8">
        <w:rPr>
          <w:rFonts w:ascii="Garamond" w:hAnsi="Garamond"/>
        </w:rPr>
        <w:t>Cegolon</w:t>
      </w:r>
      <w:r w:rsidR="001750D8" w:rsidRPr="007917F0">
        <w:rPr>
          <w:rFonts w:ascii="Garamond" w:hAnsi="Garamond"/>
        </w:rPr>
        <w:t xml:space="preserve"> </w:t>
      </w:r>
      <w:r w:rsidR="001750D8">
        <w:rPr>
          <w:rFonts w:ascii="Garamond" w:hAnsi="Garamond"/>
        </w:rPr>
        <w:t>et al., 2010;</w:t>
      </w:r>
      <w:r w:rsidR="001750D8" w:rsidRPr="001750D8">
        <w:rPr>
          <w:rFonts w:ascii="Garamond" w:hAnsi="Garamond"/>
          <w:lang w:val="it-IT"/>
        </w:rPr>
        <w:t xml:space="preserve"> </w:t>
      </w:r>
      <w:r w:rsidR="001750D8">
        <w:rPr>
          <w:rFonts w:ascii="Garamond" w:hAnsi="Garamond"/>
          <w:lang w:val="it-IT"/>
        </w:rPr>
        <w:t>Sidoti</w:t>
      </w:r>
      <w:r w:rsidR="001750D8" w:rsidRPr="00110BF0">
        <w:rPr>
          <w:rFonts w:ascii="Garamond" w:hAnsi="Garamond"/>
        </w:rPr>
        <w:t xml:space="preserve"> </w:t>
      </w:r>
      <w:r w:rsidR="001750D8">
        <w:rPr>
          <w:rFonts w:ascii="Garamond" w:hAnsi="Garamond"/>
        </w:rPr>
        <w:t>et al., 2010</w:t>
      </w:r>
      <w:r w:rsidR="007B24BA">
        <w:rPr>
          <w:rFonts w:ascii="Garamond" w:hAnsi="Garamond"/>
          <w:color w:val="auto"/>
        </w:rPr>
        <w:t>)</w:t>
      </w:r>
      <w:r w:rsidRPr="000B14DE">
        <w:rPr>
          <w:rFonts w:ascii="Garamond" w:hAnsi="Garamond"/>
          <w:color w:val="auto"/>
        </w:rPr>
        <w:t xml:space="preserve">. Prevalence of tattoo appears to be higher in prisons with a prevalence of 25.2 to 67% of </w:t>
      </w:r>
      <w:r w:rsidR="001750D8" w:rsidRPr="000B14DE">
        <w:rPr>
          <w:rFonts w:ascii="Garamond" w:hAnsi="Garamond"/>
          <w:color w:val="auto"/>
        </w:rPr>
        <w:t>inmates</w:t>
      </w:r>
      <w:r w:rsidR="001750D8">
        <w:rPr>
          <w:rFonts w:ascii="Garamond" w:hAnsi="Garamond"/>
          <w:color w:val="auto"/>
        </w:rPr>
        <w:t xml:space="preserve"> (</w:t>
      </w:r>
      <w:r w:rsidR="001750D8" w:rsidRPr="003D584D">
        <w:rPr>
          <w:rFonts w:ascii="Garamond" w:hAnsi="Garamond"/>
        </w:rPr>
        <w:t>Weild</w:t>
      </w:r>
      <w:r w:rsidR="001750D8">
        <w:rPr>
          <w:rFonts w:ascii="Garamond" w:hAnsi="Garamond"/>
        </w:rPr>
        <w:t xml:space="preserve"> et al., 2000; Armstrong et al., </w:t>
      </w:r>
      <w:r w:rsidR="001750D8" w:rsidRPr="003D584D">
        <w:rPr>
          <w:rFonts w:ascii="Garamond" w:hAnsi="Garamond"/>
        </w:rPr>
        <w:t>2004</w:t>
      </w:r>
      <w:r w:rsidR="001750D8">
        <w:rPr>
          <w:rFonts w:ascii="Garamond" w:hAnsi="Garamond"/>
        </w:rPr>
        <w:t>;</w:t>
      </w:r>
      <w:r w:rsidR="001750D8" w:rsidRPr="001750D8">
        <w:rPr>
          <w:rFonts w:ascii="Garamond" w:hAnsi="Garamond"/>
        </w:rPr>
        <w:t xml:space="preserve"> </w:t>
      </w:r>
      <w:r w:rsidR="001750D8" w:rsidRPr="003D584D">
        <w:rPr>
          <w:rFonts w:ascii="Garamond" w:hAnsi="Garamond"/>
        </w:rPr>
        <w:t>Poulin</w:t>
      </w:r>
      <w:r w:rsidR="001750D8">
        <w:rPr>
          <w:rFonts w:ascii="Garamond" w:hAnsi="Garamond"/>
        </w:rPr>
        <w:t xml:space="preserve"> </w:t>
      </w:r>
      <w:r w:rsidR="001750D8" w:rsidRPr="003D584D">
        <w:rPr>
          <w:rFonts w:ascii="Garamond" w:hAnsi="Garamond"/>
        </w:rPr>
        <w:t>et</w:t>
      </w:r>
      <w:r w:rsidR="001750D8">
        <w:rPr>
          <w:rFonts w:ascii="Garamond" w:hAnsi="Garamond"/>
        </w:rPr>
        <w:t xml:space="preserve"> </w:t>
      </w:r>
      <w:r w:rsidR="001750D8" w:rsidRPr="003D584D">
        <w:rPr>
          <w:rFonts w:ascii="Garamond" w:hAnsi="Garamond"/>
        </w:rPr>
        <w:t>al.</w:t>
      </w:r>
      <w:r w:rsidR="001750D8">
        <w:rPr>
          <w:rFonts w:ascii="Garamond" w:hAnsi="Garamond"/>
        </w:rPr>
        <w:t>,</w:t>
      </w:r>
      <w:r w:rsidR="001750D8" w:rsidRPr="00110BF0">
        <w:rPr>
          <w:rFonts w:ascii="Garamond" w:hAnsi="Garamond"/>
        </w:rPr>
        <w:t xml:space="preserve"> </w:t>
      </w:r>
      <w:r w:rsidR="001750D8">
        <w:rPr>
          <w:rFonts w:ascii="Garamond" w:hAnsi="Garamond"/>
        </w:rPr>
        <w:t>2007;</w:t>
      </w:r>
      <w:r w:rsidR="001750D8" w:rsidRPr="001750D8">
        <w:rPr>
          <w:rFonts w:ascii="Garamond" w:hAnsi="Garamond"/>
        </w:rPr>
        <w:t xml:space="preserve"> </w:t>
      </w:r>
      <w:r w:rsidR="001750D8" w:rsidRPr="003D584D">
        <w:rPr>
          <w:rFonts w:ascii="Garamond" w:hAnsi="Garamond"/>
        </w:rPr>
        <w:t xml:space="preserve">Abiona </w:t>
      </w:r>
      <w:r w:rsidR="001750D8">
        <w:rPr>
          <w:rFonts w:ascii="Garamond" w:hAnsi="Garamond"/>
        </w:rPr>
        <w:t>et al</w:t>
      </w:r>
      <w:r w:rsidR="001750D8" w:rsidRPr="003D584D">
        <w:rPr>
          <w:rFonts w:ascii="Garamond" w:hAnsi="Garamond"/>
        </w:rPr>
        <w:t>.</w:t>
      </w:r>
      <w:r w:rsidR="001750D8">
        <w:rPr>
          <w:rFonts w:ascii="Garamond" w:hAnsi="Garamond"/>
        </w:rPr>
        <w:t>,</w:t>
      </w:r>
      <w:r w:rsidR="001750D8" w:rsidRPr="00110BF0">
        <w:rPr>
          <w:rFonts w:ascii="Garamond" w:hAnsi="Garamond"/>
        </w:rPr>
        <w:t xml:space="preserve"> </w:t>
      </w:r>
      <w:r w:rsidR="001750D8">
        <w:rPr>
          <w:rFonts w:ascii="Garamond" w:hAnsi="Garamond"/>
        </w:rPr>
        <w:t>2010;</w:t>
      </w:r>
      <w:r w:rsidR="001750D8" w:rsidRPr="001750D8">
        <w:rPr>
          <w:rFonts w:ascii="Garamond" w:hAnsi="Garamond"/>
        </w:rPr>
        <w:t xml:space="preserve"> </w:t>
      </w:r>
      <w:r w:rsidR="001750D8" w:rsidRPr="003D584D">
        <w:rPr>
          <w:rFonts w:ascii="Garamond" w:hAnsi="Garamond"/>
        </w:rPr>
        <w:t xml:space="preserve">Jafari </w:t>
      </w:r>
      <w:r w:rsidR="001750D8">
        <w:rPr>
          <w:rFonts w:ascii="Garamond" w:hAnsi="Garamond"/>
        </w:rPr>
        <w:t>et al</w:t>
      </w:r>
      <w:r w:rsidR="001750D8" w:rsidRPr="003D584D">
        <w:rPr>
          <w:rFonts w:ascii="Garamond" w:hAnsi="Garamond"/>
        </w:rPr>
        <w:t>.</w:t>
      </w:r>
      <w:r w:rsidR="001750D8">
        <w:rPr>
          <w:rFonts w:ascii="Garamond" w:hAnsi="Garamond"/>
        </w:rPr>
        <w:t>,</w:t>
      </w:r>
      <w:r w:rsidR="001750D8" w:rsidRPr="003D584D">
        <w:rPr>
          <w:rFonts w:ascii="Garamond" w:hAnsi="Garamond"/>
        </w:rPr>
        <w:t>2010</w:t>
      </w:r>
      <w:r w:rsidR="007B24BA">
        <w:rPr>
          <w:rFonts w:ascii="Garamond" w:hAnsi="Garamond"/>
          <w:color w:val="auto"/>
        </w:rPr>
        <w:t>)</w:t>
      </w:r>
      <w:r w:rsidRPr="000B14DE">
        <w:rPr>
          <w:rFonts w:ascii="Garamond" w:hAnsi="Garamond"/>
          <w:color w:val="auto"/>
        </w:rPr>
        <w:t>. Prevalence in an armed forces setting was about 25.2% to 37.4%</w:t>
      </w:r>
      <w:r w:rsidR="007B24BA">
        <w:rPr>
          <w:rFonts w:ascii="Garamond" w:hAnsi="Garamond"/>
          <w:color w:val="auto"/>
        </w:rPr>
        <w:t xml:space="preserve"> (</w:t>
      </w:r>
      <w:r w:rsidR="001750D8" w:rsidRPr="003D584D">
        <w:rPr>
          <w:rFonts w:ascii="Garamond" w:hAnsi="Garamond"/>
        </w:rPr>
        <w:t xml:space="preserve">Armstrong </w:t>
      </w:r>
      <w:r w:rsidR="001750D8">
        <w:rPr>
          <w:rFonts w:ascii="Garamond" w:hAnsi="Garamond"/>
        </w:rPr>
        <w:t>et al</w:t>
      </w:r>
      <w:r w:rsidR="001750D8" w:rsidRPr="003D584D">
        <w:rPr>
          <w:rFonts w:ascii="Garamond" w:hAnsi="Garamond"/>
        </w:rPr>
        <w:t>.</w:t>
      </w:r>
      <w:r w:rsidR="001750D8">
        <w:rPr>
          <w:rFonts w:ascii="Garamond" w:hAnsi="Garamond"/>
        </w:rPr>
        <w:t>,</w:t>
      </w:r>
      <w:r w:rsidR="001750D8" w:rsidRPr="00110BF0">
        <w:rPr>
          <w:rFonts w:ascii="Garamond" w:hAnsi="Garamond"/>
        </w:rPr>
        <w:t xml:space="preserve"> </w:t>
      </w:r>
      <w:r w:rsidR="008C2851">
        <w:rPr>
          <w:rFonts w:ascii="Garamond" w:hAnsi="Garamond"/>
        </w:rPr>
        <w:t xml:space="preserve">2000; </w:t>
      </w:r>
      <w:r w:rsidR="00BB5E47" w:rsidRPr="003D584D">
        <w:rPr>
          <w:rFonts w:ascii="Garamond" w:hAnsi="Garamond"/>
        </w:rPr>
        <w:t>Cuyper and Perez-Cotapos</w:t>
      </w:r>
      <w:r w:rsidR="00BB5E47">
        <w:rPr>
          <w:rFonts w:ascii="Garamond" w:hAnsi="Garamond"/>
        </w:rPr>
        <w:t>, 2010</w:t>
      </w:r>
      <w:r w:rsidR="007B24BA">
        <w:rPr>
          <w:rFonts w:ascii="Garamond" w:hAnsi="Garamond"/>
          <w:color w:val="auto"/>
        </w:rPr>
        <w:t>)</w:t>
      </w:r>
      <w:r w:rsidRPr="000B14DE">
        <w:rPr>
          <w:rFonts w:ascii="Garamond" w:hAnsi="Garamond"/>
          <w:color w:val="auto"/>
        </w:rPr>
        <w:t>. Note that those recruited into these studies had either had the tattooing before joining these setting or had them whilst in those settings.</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Tattoos tend to be more amongst males than females</w:t>
      </w:r>
      <w:bookmarkStart w:id="14" w:name="_Ref319248605"/>
      <w:r w:rsidRPr="000B14DE">
        <w:rPr>
          <w:rFonts w:ascii="Garamond" w:hAnsi="Garamond"/>
          <w:color w:val="auto"/>
        </w:rPr>
        <w:t xml:space="preserve"> (with a new shift observed in the US</w:t>
      </w:r>
      <w:r w:rsidR="00AF2206">
        <w:rPr>
          <w:rFonts w:ascii="Garamond" w:hAnsi="Garamond"/>
          <w:color w:val="auto"/>
        </w:rPr>
        <w:t>A</w:t>
      </w:r>
      <w:r w:rsidRPr="000B14DE">
        <w:rPr>
          <w:rFonts w:ascii="Garamond" w:hAnsi="Garamond"/>
          <w:color w:val="auto"/>
        </w:rPr>
        <w:t xml:space="preserve"> in 2012- more females than males)</w:t>
      </w:r>
      <w:r w:rsidR="007B24BA">
        <w:rPr>
          <w:rFonts w:ascii="Garamond" w:hAnsi="Garamond"/>
          <w:color w:val="auto"/>
        </w:rPr>
        <w:t xml:space="preserve"> (</w:t>
      </w:r>
      <w:r w:rsidR="001750D8">
        <w:rPr>
          <w:rFonts w:ascii="Garamond" w:hAnsi="Garamond"/>
        </w:rPr>
        <w:t>Armstrong and Murphy,</w:t>
      </w:r>
      <w:r w:rsidR="001750D8" w:rsidRPr="00110BF0">
        <w:rPr>
          <w:rFonts w:ascii="Garamond" w:hAnsi="Garamond"/>
        </w:rPr>
        <w:t xml:space="preserve"> </w:t>
      </w:r>
      <w:r w:rsidR="001750D8">
        <w:rPr>
          <w:rFonts w:ascii="Garamond" w:hAnsi="Garamond"/>
        </w:rPr>
        <w:t xml:space="preserve">1997; </w:t>
      </w:r>
      <w:r w:rsidR="001750D8" w:rsidRPr="003D584D">
        <w:rPr>
          <w:rFonts w:ascii="Garamond" w:hAnsi="Garamond"/>
          <w:lang w:val="en-US"/>
        </w:rPr>
        <w:t>Harris Interactive</w:t>
      </w:r>
      <w:r w:rsidR="001750D8">
        <w:rPr>
          <w:rFonts w:ascii="Garamond" w:hAnsi="Garamond"/>
          <w:lang w:val="en-US"/>
        </w:rPr>
        <w:t>, 2012</w:t>
      </w:r>
      <w:r w:rsidR="007B24BA">
        <w:rPr>
          <w:rFonts w:ascii="Garamond" w:hAnsi="Garamond"/>
          <w:color w:val="auto"/>
        </w:rPr>
        <w:t>)</w:t>
      </w:r>
      <w:r w:rsidRPr="000B14DE">
        <w:rPr>
          <w:rFonts w:ascii="Garamond" w:hAnsi="Garamond"/>
          <w:color w:val="auto"/>
        </w:rPr>
        <w:t>.</w:t>
      </w:r>
      <w:bookmarkEnd w:id="14"/>
      <w:r w:rsidR="008C2851">
        <w:rPr>
          <w:rFonts w:ascii="Garamond" w:hAnsi="Garamond"/>
          <w:color w:val="auto"/>
        </w:rPr>
        <w:t xml:space="preserve"> </w:t>
      </w:r>
      <w:r w:rsidRPr="000B14DE">
        <w:rPr>
          <w:rFonts w:ascii="Garamond" w:hAnsi="Garamond"/>
          <w:color w:val="auto"/>
        </w:rPr>
        <w:t>Tattoos are placed in any part of the body and most tattoos are located in areas of the body that could be covered by clothing</w:t>
      </w:r>
      <w:r w:rsidR="001750D8">
        <w:rPr>
          <w:rFonts w:ascii="Garamond" w:hAnsi="Garamond"/>
          <w:color w:val="auto"/>
        </w:rPr>
        <w:t xml:space="preserve"> </w:t>
      </w:r>
      <w:r w:rsidR="007B24BA">
        <w:rPr>
          <w:rFonts w:ascii="Garamond" w:hAnsi="Garamond"/>
          <w:color w:val="auto"/>
        </w:rPr>
        <w:t>(</w:t>
      </w:r>
      <w:r w:rsidR="001750D8">
        <w:rPr>
          <w:rFonts w:ascii="Garamond" w:hAnsi="Garamond"/>
        </w:rPr>
        <w:t>Laumann and Derick,</w:t>
      </w:r>
      <w:r w:rsidR="001750D8" w:rsidRPr="00110BF0">
        <w:rPr>
          <w:rFonts w:ascii="Garamond" w:hAnsi="Garamond"/>
        </w:rPr>
        <w:t xml:space="preserve"> </w:t>
      </w:r>
      <w:r w:rsidR="001750D8">
        <w:rPr>
          <w:rFonts w:ascii="Garamond" w:hAnsi="Garamond"/>
        </w:rPr>
        <w:t>2006;</w:t>
      </w:r>
      <w:r w:rsidR="001750D8" w:rsidRPr="001750D8">
        <w:rPr>
          <w:rFonts w:ascii="Garamond" w:hAnsi="Garamond"/>
        </w:rPr>
        <w:t xml:space="preserve"> </w:t>
      </w:r>
      <w:r w:rsidR="001750D8" w:rsidRPr="003D584D">
        <w:rPr>
          <w:rFonts w:ascii="Garamond" w:hAnsi="Garamond"/>
        </w:rPr>
        <w:t>Cuyper and Perez-Cotapos</w:t>
      </w:r>
      <w:r w:rsidR="001750D8">
        <w:rPr>
          <w:rFonts w:ascii="Garamond" w:hAnsi="Garamond"/>
        </w:rPr>
        <w:t>, 2010</w:t>
      </w:r>
      <w:r w:rsidR="007B24BA">
        <w:rPr>
          <w:rFonts w:ascii="Garamond" w:hAnsi="Garamond"/>
          <w:color w:val="auto"/>
        </w:rPr>
        <w:t>)</w:t>
      </w:r>
      <w:r w:rsidR="00D13EFC">
        <w:rPr>
          <w:rFonts w:ascii="Garamond" w:hAnsi="Garamond"/>
          <w:color w:val="auto"/>
        </w:rPr>
        <w:t>. The h</w:t>
      </w:r>
      <w:r w:rsidRPr="000B14DE">
        <w:rPr>
          <w:rFonts w:ascii="Garamond" w:hAnsi="Garamond"/>
          <w:color w:val="auto"/>
        </w:rPr>
        <w:t>ighest prevalence noted were amongst those aged 25 to 39 years</w:t>
      </w:r>
      <w:r w:rsidR="007B24BA">
        <w:rPr>
          <w:rFonts w:ascii="Garamond" w:hAnsi="Garamond"/>
          <w:color w:val="auto"/>
        </w:rPr>
        <w:t xml:space="preserve"> (</w:t>
      </w:r>
      <w:r w:rsidR="001750D8" w:rsidRPr="003D584D">
        <w:rPr>
          <w:rFonts w:ascii="Garamond" w:hAnsi="Garamond"/>
        </w:rPr>
        <w:t>Cuyper and Perez-Cotapos</w:t>
      </w:r>
      <w:r w:rsidR="001750D8">
        <w:rPr>
          <w:rFonts w:ascii="Garamond" w:hAnsi="Garamond"/>
        </w:rPr>
        <w:t>, 2010;</w:t>
      </w:r>
      <w:r w:rsidR="001750D8" w:rsidRPr="001750D8">
        <w:rPr>
          <w:rFonts w:ascii="Garamond" w:hAnsi="Garamond"/>
          <w:lang w:val="en-US"/>
        </w:rPr>
        <w:t xml:space="preserve"> </w:t>
      </w:r>
      <w:r w:rsidR="001750D8" w:rsidRPr="003D584D">
        <w:rPr>
          <w:rFonts w:ascii="Garamond" w:hAnsi="Garamond"/>
          <w:lang w:val="en-US"/>
        </w:rPr>
        <w:t>Harris Interactive</w:t>
      </w:r>
      <w:r w:rsidR="001750D8">
        <w:rPr>
          <w:rFonts w:ascii="Garamond" w:hAnsi="Garamond"/>
          <w:lang w:val="en-US"/>
        </w:rPr>
        <w:t>, 2012</w:t>
      </w:r>
      <w:r w:rsidR="007B24BA">
        <w:rPr>
          <w:rFonts w:ascii="Garamond" w:hAnsi="Garamond"/>
          <w:color w:val="auto"/>
        </w:rPr>
        <w:t>)</w:t>
      </w:r>
      <w:r w:rsidRPr="000B14DE">
        <w:rPr>
          <w:rFonts w:ascii="Garamond" w:hAnsi="Garamond"/>
          <w:color w:val="auto"/>
        </w:rPr>
        <w:t>, with what appears to be an increasing trend in adolescents observed (range 6-23%</w:t>
      </w:r>
      <w:r w:rsidR="00BB5E47" w:rsidRPr="000B14DE">
        <w:rPr>
          <w:rFonts w:ascii="Garamond" w:hAnsi="Garamond"/>
          <w:color w:val="auto"/>
        </w:rPr>
        <w:t>)</w:t>
      </w:r>
      <w:r w:rsidR="00BB5E47">
        <w:rPr>
          <w:rFonts w:ascii="Garamond" w:hAnsi="Garamond"/>
          <w:color w:val="auto"/>
        </w:rPr>
        <w:t xml:space="preserve"> (</w:t>
      </w:r>
      <w:r w:rsidR="007F7AD2">
        <w:rPr>
          <w:rFonts w:ascii="Garamond" w:hAnsi="Garamond"/>
        </w:rPr>
        <w:t>Benjamins</w:t>
      </w:r>
      <w:r w:rsidR="001750D8" w:rsidRPr="007917F0">
        <w:rPr>
          <w:rFonts w:ascii="Garamond" w:hAnsi="Garamond"/>
        </w:rPr>
        <w:t xml:space="preserve"> </w:t>
      </w:r>
      <w:r w:rsidR="001750D8">
        <w:rPr>
          <w:rFonts w:ascii="Garamond" w:hAnsi="Garamond"/>
        </w:rPr>
        <w:t>et al</w:t>
      </w:r>
      <w:r w:rsidR="007F7AD2">
        <w:rPr>
          <w:rFonts w:ascii="Garamond" w:hAnsi="Garamond"/>
        </w:rPr>
        <w:t>.,</w:t>
      </w:r>
      <w:r w:rsidR="001750D8">
        <w:rPr>
          <w:rFonts w:ascii="Garamond" w:hAnsi="Garamond"/>
        </w:rPr>
        <w:t xml:space="preserve"> 2006</w:t>
      </w:r>
      <w:r w:rsidR="007F7AD2">
        <w:rPr>
          <w:rFonts w:ascii="Garamond" w:hAnsi="Garamond"/>
        </w:rPr>
        <w:t>; Laumann and Derick</w:t>
      </w:r>
      <w:r w:rsidR="00E55BB4">
        <w:rPr>
          <w:rFonts w:ascii="Garamond" w:hAnsi="Garamond"/>
        </w:rPr>
        <w:t xml:space="preserve">, </w:t>
      </w:r>
      <w:r w:rsidR="007F7AD2">
        <w:rPr>
          <w:rFonts w:ascii="Garamond" w:hAnsi="Garamond"/>
        </w:rPr>
        <w:t>2006</w:t>
      </w:r>
      <w:r w:rsidR="007F7AD2">
        <w:rPr>
          <w:rFonts w:ascii="Garamond" w:hAnsi="Garamond"/>
          <w:lang w:val="en-US"/>
        </w:rPr>
        <w:t xml:space="preserve">; </w:t>
      </w:r>
      <w:r w:rsidR="007F7AD2">
        <w:rPr>
          <w:rFonts w:ascii="Garamond" w:hAnsi="Garamond"/>
        </w:rPr>
        <w:t>Cegolon</w:t>
      </w:r>
      <w:r w:rsidR="001750D8" w:rsidRPr="007917F0">
        <w:rPr>
          <w:rFonts w:ascii="Garamond" w:hAnsi="Garamond"/>
        </w:rPr>
        <w:t xml:space="preserve"> </w:t>
      </w:r>
      <w:r w:rsidR="001750D8">
        <w:rPr>
          <w:rFonts w:ascii="Garamond" w:hAnsi="Garamond"/>
        </w:rPr>
        <w:t>et al</w:t>
      </w:r>
      <w:r w:rsidR="007F7AD2">
        <w:rPr>
          <w:rFonts w:ascii="Garamond" w:hAnsi="Garamond"/>
        </w:rPr>
        <w:t>.,</w:t>
      </w:r>
      <w:r w:rsidR="001750D8">
        <w:rPr>
          <w:rFonts w:ascii="Garamond" w:hAnsi="Garamond"/>
        </w:rPr>
        <w:t xml:space="preserve"> 2010</w:t>
      </w:r>
      <w:r w:rsidR="007F7AD2">
        <w:rPr>
          <w:rFonts w:ascii="Garamond" w:hAnsi="Garamond"/>
        </w:rPr>
        <w:t>;</w:t>
      </w:r>
      <w:r w:rsidR="001750D8" w:rsidRPr="003D584D">
        <w:rPr>
          <w:rFonts w:ascii="Garamond" w:hAnsi="Garamond"/>
        </w:rPr>
        <w:t xml:space="preserve"> </w:t>
      </w:r>
      <w:r w:rsidR="001750D8" w:rsidRPr="003D584D">
        <w:rPr>
          <w:rFonts w:ascii="Garamond" w:hAnsi="Garamond"/>
          <w:lang w:val="en-US"/>
        </w:rPr>
        <w:t>Harris Interactive</w:t>
      </w:r>
      <w:r w:rsidR="001750D8">
        <w:rPr>
          <w:rFonts w:ascii="Garamond" w:hAnsi="Garamond"/>
          <w:lang w:val="en-US"/>
        </w:rPr>
        <w:t>, 2012</w:t>
      </w:r>
      <w:r w:rsidR="007F7AD2">
        <w:rPr>
          <w:rFonts w:ascii="Garamond" w:hAnsi="Garamond"/>
          <w:lang w:val="en-US"/>
        </w:rPr>
        <w:t>;</w:t>
      </w:r>
      <w:r w:rsidR="001750D8" w:rsidRPr="001750D8">
        <w:rPr>
          <w:rFonts w:ascii="Garamond" w:hAnsi="Garamond"/>
        </w:rPr>
        <w:t xml:space="preserve"> </w:t>
      </w:r>
      <w:r w:rsidR="00E55BB4">
        <w:rPr>
          <w:rFonts w:ascii="Garamond" w:hAnsi="Garamond"/>
          <w:bCs/>
        </w:rPr>
        <w:t xml:space="preserve">Rania and Scott, </w:t>
      </w:r>
      <w:r w:rsidR="007F7AD2">
        <w:rPr>
          <w:rFonts w:ascii="Garamond" w:hAnsi="Garamond"/>
          <w:bCs/>
        </w:rPr>
        <w:t>2012</w:t>
      </w:r>
      <w:r w:rsidR="007B24BA">
        <w:rPr>
          <w:rFonts w:ascii="Garamond" w:hAnsi="Garamond"/>
          <w:color w:val="auto"/>
        </w:rPr>
        <w:t>)</w:t>
      </w:r>
      <w:r w:rsidRPr="000B14DE">
        <w:rPr>
          <w:rFonts w:ascii="Garamond" w:hAnsi="Garamond"/>
          <w:color w:val="auto"/>
        </w:rPr>
        <w:t>.</w:t>
      </w:r>
    </w:p>
    <w:p w:rsidR="00006F4D" w:rsidRPr="008C2851" w:rsidRDefault="00006F4D" w:rsidP="007F7AD2">
      <w:pPr>
        <w:spacing w:line="360" w:lineRule="auto"/>
        <w:jc w:val="both"/>
        <w:rPr>
          <w:rFonts w:ascii="Garamond" w:hAnsi="Garamond"/>
        </w:rPr>
      </w:pPr>
      <w:r w:rsidRPr="000B14DE">
        <w:rPr>
          <w:rFonts w:ascii="Garamond" w:hAnsi="Garamond"/>
          <w:color w:val="auto"/>
        </w:rPr>
        <w:t>Many studies found a significant association between tattooing and risky behaviour, especially amongst adolescents</w:t>
      </w:r>
      <w:r w:rsidR="007B24BA">
        <w:rPr>
          <w:rFonts w:ascii="Garamond" w:hAnsi="Garamond"/>
          <w:color w:val="auto"/>
        </w:rPr>
        <w:t xml:space="preserve"> (</w:t>
      </w:r>
      <w:r w:rsidR="007F7AD2">
        <w:rPr>
          <w:rFonts w:ascii="Garamond" w:hAnsi="Garamond"/>
        </w:rPr>
        <w:t>Armstrong and Murphy,</w:t>
      </w:r>
      <w:r w:rsidR="007F7AD2" w:rsidRPr="00110BF0">
        <w:rPr>
          <w:rFonts w:ascii="Garamond" w:hAnsi="Garamond"/>
        </w:rPr>
        <w:t xml:space="preserve"> </w:t>
      </w:r>
      <w:r w:rsidR="007F7AD2">
        <w:rPr>
          <w:rFonts w:ascii="Garamond" w:hAnsi="Garamond"/>
        </w:rPr>
        <w:t xml:space="preserve">1997; </w:t>
      </w:r>
      <w:r w:rsidR="007F7AD2" w:rsidRPr="007F7AD2">
        <w:rPr>
          <w:rFonts w:ascii="Garamond" w:hAnsi="Garamond"/>
        </w:rPr>
        <w:t>Silverman et al</w:t>
      </w:r>
      <w:r w:rsidR="007F7AD2">
        <w:rPr>
          <w:rFonts w:ascii="Garamond" w:hAnsi="Garamond"/>
        </w:rPr>
        <w:t>.,</w:t>
      </w:r>
      <w:r w:rsidR="007F7AD2" w:rsidRPr="007F7AD2">
        <w:rPr>
          <w:rFonts w:ascii="Garamond" w:hAnsi="Garamond"/>
        </w:rPr>
        <w:t xml:space="preserve"> 2000</w:t>
      </w:r>
      <w:r w:rsidR="007F7AD2">
        <w:rPr>
          <w:rFonts w:ascii="Garamond" w:hAnsi="Garamond"/>
        </w:rPr>
        <w:t xml:space="preserve">; </w:t>
      </w:r>
      <w:r w:rsidR="007F7AD2" w:rsidRPr="007F7AD2">
        <w:rPr>
          <w:rFonts w:ascii="Garamond" w:hAnsi="Garamond"/>
        </w:rPr>
        <w:t>Hellard et al</w:t>
      </w:r>
      <w:r w:rsidR="007F7AD2">
        <w:rPr>
          <w:rFonts w:ascii="Garamond" w:hAnsi="Garamond"/>
        </w:rPr>
        <w:t>.,</w:t>
      </w:r>
      <w:r w:rsidR="007F7AD2" w:rsidRPr="007F7AD2">
        <w:rPr>
          <w:rFonts w:ascii="Garamond" w:hAnsi="Garamond"/>
        </w:rPr>
        <w:t xml:space="preserve"> 2004</w:t>
      </w:r>
      <w:r w:rsidR="007F7AD2">
        <w:rPr>
          <w:rFonts w:ascii="Garamond" w:hAnsi="Garamond"/>
        </w:rPr>
        <w:t>; Benjamins</w:t>
      </w:r>
      <w:r w:rsidR="007F7AD2" w:rsidRPr="007917F0">
        <w:rPr>
          <w:rFonts w:ascii="Garamond" w:hAnsi="Garamond"/>
        </w:rPr>
        <w:t xml:space="preserve"> </w:t>
      </w:r>
      <w:r w:rsidR="007F7AD2">
        <w:rPr>
          <w:rFonts w:ascii="Garamond" w:hAnsi="Garamond"/>
        </w:rPr>
        <w:t xml:space="preserve">et al., 2006; </w:t>
      </w:r>
      <w:r w:rsidR="007F7AD2" w:rsidRPr="003D584D">
        <w:rPr>
          <w:rFonts w:ascii="Garamond" w:hAnsi="Garamond"/>
        </w:rPr>
        <w:t xml:space="preserve">Deschesnes </w:t>
      </w:r>
      <w:r w:rsidR="007F7AD2">
        <w:rPr>
          <w:rFonts w:ascii="Garamond" w:hAnsi="Garamond"/>
        </w:rPr>
        <w:t>et al., 2006;</w:t>
      </w:r>
      <w:r w:rsidR="007F7AD2" w:rsidRPr="007F7AD2">
        <w:rPr>
          <w:rFonts w:ascii="Garamond" w:hAnsi="Garamond"/>
        </w:rPr>
        <w:t xml:space="preserve"> </w:t>
      </w:r>
      <w:r w:rsidR="007F7AD2">
        <w:rPr>
          <w:rFonts w:ascii="Garamond" w:hAnsi="Garamond"/>
        </w:rPr>
        <w:t>Laumann and Derick,</w:t>
      </w:r>
      <w:r w:rsidR="007F7AD2" w:rsidRPr="00110BF0">
        <w:rPr>
          <w:rFonts w:ascii="Garamond" w:hAnsi="Garamond"/>
        </w:rPr>
        <w:t xml:space="preserve"> </w:t>
      </w:r>
      <w:r w:rsidR="007F7AD2">
        <w:rPr>
          <w:rFonts w:ascii="Garamond" w:hAnsi="Garamond"/>
        </w:rPr>
        <w:t xml:space="preserve">2006; </w:t>
      </w:r>
      <w:r w:rsidR="007F7AD2">
        <w:rPr>
          <w:rFonts w:ascii="Garamond" w:hAnsi="Garamond"/>
          <w:color w:val="auto"/>
        </w:rPr>
        <w:t>Sidoti</w:t>
      </w:r>
      <w:r w:rsidR="007F7AD2" w:rsidRPr="00FA0D9E">
        <w:rPr>
          <w:rFonts w:ascii="Garamond" w:hAnsi="Garamond"/>
          <w:lang w:val="it-IT"/>
        </w:rPr>
        <w:t>,</w:t>
      </w:r>
      <w:r w:rsidR="007F7AD2" w:rsidRPr="00110BF0">
        <w:rPr>
          <w:rFonts w:ascii="Garamond" w:hAnsi="Garamond"/>
        </w:rPr>
        <w:t xml:space="preserve"> </w:t>
      </w:r>
      <w:r w:rsidR="007F7AD2">
        <w:rPr>
          <w:rFonts w:ascii="Garamond" w:hAnsi="Garamond"/>
        </w:rPr>
        <w:t>et al 2010)</w:t>
      </w:r>
      <w:r w:rsidR="007F7AD2" w:rsidRPr="007F7AD2">
        <w:rPr>
          <w:rFonts w:ascii="Garamond" w:hAnsi="Garamond"/>
        </w:rPr>
        <w:t>.</w:t>
      </w:r>
      <w:r w:rsidR="008C2851">
        <w:rPr>
          <w:rFonts w:ascii="Garamond" w:hAnsi="Garamond"/>
        </w:rPr>
        <w:t xml:space="preserve"> </w:t>
      </w:r>
      <w:r w:rsidRPr="000B14DE">
        <w:rPr>
          <w:rFonts w:ascii="Garamond" w:hAnsi="Garamond"/>
          <w:color w:val="auto"/>
        </w:rPr>
        <w:t xml:space="preserve">These behaviours include the use of legal and illegal drugs, alcohol, and high-risk sexual behaviour.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Although the context and study designs varied, so did the possible cofounders. However, the findings appear to be consistent. See Table 2 for a summary table on literature </w:t>
      </w:r>
      <w:r w:rsidR="0083425D" w:rsidRPr="000B14DE">
        <w:rPr>
          <w:rFonts w:ascii="Garamond" w:hAnsi="Garamond"/>
          <w:color w:val="auto"/>
        </w:rPr>
        <w:t>appraised</w:t>
      </w:r>
      <w:r w:rsidRPr="000B14DE">
        <w:rPr>
          <w:rFonts w:ascii="Garamond" w:hAnsi="Garamond"/>
          <w:color w:val="auto"/>
        </w:rPr>
        <w:t xml:space="preserve">. </w:t>
      </w:r>
    </w:p>
    <w:p w:rsidR="00006F4D" w:rsidRPr="000B14DE" w:rsidRDefault="00006F4D" w:rsidP="000B14DE">
      <w:pPr>
        <w:pStyle w:val="Heading2"/>
        <w:spacing w:line="480" w:lineRule="auto"/>
        <w:rPr>
          <w:rFonts w:ascii="Garamond" w:hAnsi="Garamond"/>
        </w:rPr>
      </w:pPr>
      <w:bookmarkStart w:id="15" w:name="_Toc325554585"/>
      <w:r w:rsidRPr="000B14DE">
        <w:rPr>
          <w:rFonts w:ascii="Garamond" w:hAnsi="Garamond"/>
        </w:rPr>
        <w:t>Review of Practices</w:t>
      </w:r>
      <w:bookmarkEnd w:id="15"/>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Tattoo is conducted in various settings. These settings include dedicated parlours, mobile units, auxiliary settings e.g. hairdressing salons; institutional settings i.e. prisons, armed force bases and even domestic settings.</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The procedure involves the injection of a colorant (dyes/pigments) into the skin using certain instruments. The type of instrument used varies from standard electrical powered vertical vibrating instruments to pencils, pens, and sewing needles, guitar strings and homemade devices</w:t>
      </w:r>
      <w:r w:rsidR="007B24BA">
        <w:rPr>
          <w:rFonts w:ascii="Garamond" w:hAnsi="Garamond"/>
          <w:color w:val="auto"/>
        </w:rPr>
        <w:t xml:space="preserve"> (</w:t>
      </w:r>
      <w:r w:rsidR="007F7AD2">
        <w:rPr>
          <w:rFonts w:ascii="Garamond" w:hAnsi="Garamond"/>
        </w:rPr>
        <w:t>Armstrong and Murphy,</w:t>
      </w:r>
      <w:r w:rsidR="007F7AD2" w:rsidRPr="00110BF0">
        <w:rPr>
          <w:rFonts w:ascii="Garamond" w:hAnsi="Garamond"/>
        </w:rPr>
        <w:t xml:space="preserve"> </w:t>
      </w:r>
      <w:r w:rsidR="007F7AD2">
        <w:rPr>
          <w:rFonts w:ascii="Garamond" w:hAnsi="Garamond"/>
        </w:rPr>
        <w:t>1997;</w:t>
      </w:r>
      <w:r w:rsidR="007F7AD2" w:rsidRPr="007F7AD2">
        <w:rPr>
          <w:rFonts w:ascii="Garamond" w:hAnsi="Garamond"/>
          <w:bCs/>
        </w:rPr>
        <w:t xml:space="preserve"> </w:t>
      </w:r>
      <w:r w:rsidR="007F7AD2" w:rsidRPr="003D584D">
        <w:rPr>
          <w:rFonts w:ascii="Garamond" w:hAnsi="Garamond"/>
        </w:rPr>
        <w:t xml:space="preserve">Armstrong </w:t>
      </w:r>
      <w:r w:rsidR="007F7AD2">
        <w:rPr>
          <w:rFonts w:ascii="Garamond" w:hAnsi="Garamond"/>
        </w:rPr>
        <w:t>et al</w:t>
      </w:r>
      <w:r w:rsidR="007F7AD2" w:rsidRPr="003D584D">
        <w:rPr>
          <w:rFonts w:ascii="Garamond" w:hAnsi="Garamond"/>
        </w:rPr>
        <w:t>.</w:t>
      </w:r>
      <w:r w:rsidR="007F7AD2">
        <w:rPr>
          <w:rFonts w:ascii="Garamond" w:hAnsi="Garamond"/>
        </w:rPr>
        <w:t>,</w:t>
      </w:r>
      <w:r w:rsidR="007F7AD2" w:rsidRPr="00110BF0">
        <w:rPr>
          <w:rFonts w:ascii="Garamond" w:hAnsi="Garamond"/>
        </w:rPr>
        <w:t xml:space="preserve"> </w:t>
      </w:r>
      <w:r w:rsidR="007F7AD2">
        <w:rPr>
          <w:rFonts w:ascii="Garamond" w:hAnsi="Garamond"/>
        </w:rPr>
        <w:t>2000;</w:t>
      </w:r>
      <w:r w:rsidR="007F7AD2" w:rsidRPr="007F7AD2">
        <w:rPr>
          <w:rFonts w:ascii="Garamond" w:hAnsi="Garamond"/>
        </w:rPr>
        <w:t xml:space="preserve"> </w:t>
      </w:r>
      <w:r w:rsidR="007F7AD2">
        <w:rPr>
          <w:rFonts w:ascii="Garamond" w:hAnsi="Garamond"/>
        </w:rPr>
        <w:t>Laumann and Derick</w:t>
      </w:r>
      <w:r w:rsidR="007F7AD2" w:rsidRPr="00110BF0">
        <w:rPr>
          <w:rFonts w:ascii="Garamond" w:hAnsi="Garamond"/>
        </w:rPr>
        <w:t xml:space="preserve"> </w:t>
      </w:r>
      <w:r w:rsidR="007F7AD2">
        <w:rPr>
          <w:rFonts w:ascii="Garamond" w:hAnsi="Garamond"/>
        </w:rPr>
        <w:t>2006;</w:t>
      </w:r>
      <w:r w:rsidR="007F7AD2" w:rsidRPr="003D584D">
        <w:rPr>
          <w:rFonts w:ascii="Garamond" w:hAnsi="Garamond"/>
        </w:rPr>
        <w:t xml:space="preserve"> Cuyper and Perez-Cotapos</w:t>
      </w:r>
      <w:r w:rsidR="007F7AD2">
        <w:rPr>
          <w:rFonts w:ascii="Garamond" w:hAnsi="Garamond"/>
        </w:rPr>
        <w:t>, 2010;</w:t>
      </w:r>
      <w:r w:rsidR="007F7AD2" w:rsidRPr="007F7AD2">
        <w:rPr>
          <w:rFonts w:ascii="Garamond" w:hAnsi="Garamond"/>
        </w:rPr>
        <w:t xml:space="preserve"> Rania</w:t>
      </w:r>
      <w:r w:rsidR="007F7AD2" w:rsidRPr="007F7AD2">
        <w:rPr>
          <w:rFonts w:ascii="Garamond" w:hAnsi="Garamond"/>
          <w:bCs/>
        </w:rPr>
        <w:t xml:space="preserve"> and Scott</w:t>
      </w:r>
      <w:r w:rsidR="007F7AD2">
        <w:rPr>
          <w:rFonts w:ascii="Garamond" w:hAnsi="Garamond"/>
          <w:bCs/>
        </w:rPr>
        <w:t>,</w:t>
      </w:r>
      <w:r w:rsidR="007F7AD2" w:rsidRPr="007F7AD2">
        <w:rPr>
          <w:rFonts w:ascii="Garamond" w:hAnsi="Garamond"/>
          <w:bCs/>
        </w:rPr>
        <w:t xml:space="preserve"> 2012</w:t>
      </w:r>
      <w:r w:rsidR="007B24BA">
        <w:rPr>
          <w:rFonts w:ascii="Garamond" w:hAnsi="Garamond"/>
          <w:color w:val="auto"/>
        </w:rPr>
        <w:t>)</w:t>
      </w:r>
      <w:r w:rsidRPr="000B14DE">
        <w:rPr>
          <w:rFonts w:ascii="Garamond" w:hAnsi="Garamond"/>
          <w:color w:val="auto"/>
        </w:rPr>
        <w:t>.</w:t>
      </w:r>
      <w:r w:rsidR="008C2851">
        <w:rPr>
          <w:rFonts w:ascii="Garamond" w:hAnsi="Garamond"/>
          <w:color w:val="auto"/>
        </w:rPr>
        <w:t xml:space="preserve"> </w:t>
      </w:r>
      <w:r w:rsidRPr="000B14DE">
        <w:rPr>
          <w:rFonts w:ascii="Garamond" w:hAnsi="Garamond"/>
          <w:color w:val="auto"/>
        </w:rPr>
        <w:t xml:space="preserve">These instruments are inserted in the tattoo inks (which </w:t>
      </w:r>
      <w:r w:rsidR="00B57DBB">
        <w:rPr>
          <w:rFonts w:ascii="Garamond" w:hAnsi="Garamond"/>
          <w:color w:val="auto"/>
        </w:rPr>
        <w:t>contain various dyes/pigments</w:t>
      </w:r>
      <w:r w:rsidR="003A2B7A">
        <w:rPr>
          <w:rFonts w:ascii="Garamond" w:hAnsi="Garamond"/>
          <w:color w:val="auto"/>
        </w:rPr>
        <w:t>,</w:t>
      </w:r>
      <w:r w:rsidR="00B57DBB">
        <w:rPr>
          <w:rFonts w:ascii="Garamond" w:hAnsi="Garamond"/>
          <w:color w:val="auto"/>
        </w:rPr>
        <w:t xml:space="preserve"> </w:t>
      </w:r>
      <w:r w:rsidRPr="000B14DE">
        <w:rPr>
          <w:rFonts w:ascii="Garamond" w:hAnsi="Garamond"/>
          <w:color w:val="auto"/>
        </w:rPr>
        <w:t>contents of which are often not known) and then injected into the skin at levels that are dependent on the skills and experience of the tattooist, the type of tattoo and to a large extent the type of tattooing device used</w:t>
      </w:r>
      <w:r w:rsidR="007F7AD2">
        <w:rPr>
          <w:rFonts w:ascii="Garamond" w:hAnsi="Garamond"/>
          <w:color w:val="auto"/>
        </w:rPr>
        <w:t xml:space="preserve"> (</w:t>
      </w:r>
      <w:r w:rsidR="007F7AD2" w:rsidRPr="003D584D">
        <w:rPr>
          <w:rFonts w:ascii="Garamond" w:hAnsi="Garamond"/>
        </w:rPr>
        <w:t>Cuyper and Perez-Cotapos</w:t>
      </w:r>
      <w:r w:rsidR="007F7AD2">
        <w:rPr>
          <w:rFonts w:ascii="Garamond" w:hAnsi="Garamond"/>
        </w:rPr>
        <w:t>, 2010)</w:t>
      </w:r>
      <w:r w:rsidRPr="000B14DE">
        <w:rPr>
          <w:rFonts w:ascii="Garamond" w:hAnsi="Garamond"/>
          <w:color w:val="auto"/>
        </w:rPr>
        <w:t>.</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There are two distinct types of </w:t>
      </w:r>
      <w:r w:rsidR="003A2B7A" w:rsidRPr="000B14DE">
        <w:rPr>
          <w:rFonts w:ascii="Garamond" w:hAnsi="Garamond"/>
          <w:color w:val="auto"/>
        </w:rPr>
        <w:t>practice, which</w:t>
      </w:r>
      <w:r w:rsidRPr="000B14DE">
        <w:rPr>
          <w:rFonts w:ascii="Garamond" w:hAnsi="Garamond"/>
          <w:color w:val="auto"/>
        </w:rPr>
        <w:t xml:space="preserve"> are dependent on the context of the </w:t>
      </w:r>
      <w:r w:rsidR="0083425D" w:rsidRPr="000B14DE">
        <w:rPr>
          <w:rFonts w:ascii="Garamond" w:hAnsi="Garamond"/>
          <w:color w:val="auto"/>
        </w:rPr>
        <w:t>procedure;</w:t>
      </w:r>
      <w:r w:rsidRPr="000B14DE">
        <w:rPr>
          <w:rFonts w:ascii="Garamond" w:hAnsi="Garamond"/>
          <w:color w:val="auto"/>
        </w:rPr>
        <w:t xml:space="preserve"> </w:t>
      </w:r>
      <w:r w:rsidR="0083425D" w:rsidRPr="000B14DE">
        <w:rPr>
          <w:rFonts w:ascii="Garamond" w:hAnsi="Garamond"/>
          <w:color w:val="auto"/>
        </w:rPr>
        <w:t xml:space="preserve">these are </w:t>
      </w:r>
      <w:r w:rsidRPr="000B14DE">
        <w:rPr>
          <w:rFonts w:ascii="Garamond" w:hAnsi="Garamond"/>
          <w:color w:val="auto"/>
        </w:rPr>
        <w:t>amateur and professional tattoo practice</w:t>
      </w:r>
      <w:r w:rsidR="007B24BA">
        <w:rPr>
          <w:rFonts w:ascii="Garamond" w:hAnsi="Garamond"/>
          <w:color w:val="auto"/>
        </w:rPr>
        <w:t xml:space="preserve"> </w:t>
      </w:r>
      <w:r w:rsidR="008C2851">
        <w:rPr>
          <w:rFonts w:ascii="Garamond" w:hAnsi="Garamond"/>
          <w:color w:val="auto"/>
        </w:rPr>
        <w:t>(</w:t>
      </w:r>
      <w:r w:rsidR="008C2851" w:rsidRPr="003D584D">
        <w:rPr>
          <w:rFonts w:ascii="Garamond" w:hAnsi="Garamond"/>
        </w:rPr>
        <w:t>Cuyper and Perez-Cotapos</w:t>
      </w:r>
      <w:r w:rsidR="008C2851">
        <w:rPr>
          <w:rFonts w:ascii="Garamond" w:hAnsi="Garamond"/>
        </w:rPr>
        <w:t>, 2010)</w:t>
      </w:r>
      <w:r w:rsidR="008C2851" w:rsidRPr="000B14DE">
        <w:rPr>
          <w:rFonts w:ascii="Garamond" w:hAnsi="Garamond"/>
          <w:color w:val="auto"/>
        </w:rPr>
        <w:t>.</w:t>
      </w:r>
      <w:r w:rsidR="008C2851">
        <w:rPr>
          <w:rFonts w:ascii="Garamond" w:hAnsi="Garamond"/>
          <w:color w:val="auto"/>
        </w:rPr>
        <w:t xml:space="preserve"> </w:t>
      </w:r>
      <w:r w:rsidRPr="000B14DE">
        <w:rPr>
          <w:rFonts w:ascii="Garamond" w:hAnsi="Garamond"/>
          <w:color w:val="auto"/>
        </w:rPr>
        <w:t xml:space="preserve">It appears that most of the risks of complications are attributed to amateur practices that tend to conduct tattoo under unregulated </w:t>
      </w:r>
      <w:r w:rsidR="003D2E5F">
        <w:rPr>
          <w:rFonts w:ascii="Garamond" w:hAnsi="Garamond"/>
          <w:color w:val="auto"/>
        </w:rPr>
        <w:t xml:space="preserve">and unhygienic </w:t>
      </w:r>
      <w:r w:rsidRPr="000B14DE">
        <w:rPr>
          <w:rFonts w:ascii="Garamond" w:hAnsi="Garamond"/>
          <w:color w:val="auto"/>
        </w:rPr>
        <w:t xml:space="preserve">conditions </w:t>
      </w:r>
      <w:r w:rsidR="007B24BA">
        <w:rPr>
          <w:rFonts w:ascii="Garamond" w:hAnsi="Garamond"/>
          <w:color w:val="auto"/>
        </w:rPr>
        <w:t>(</w:t>
      </w:r>
      <w:r w:rsidR="003D2E5F" w:rsidRPr="003D584D">
        <w:rPr>
          <w:rFonts w:ascii="Garamond" w:hAnsi="Garamond"/>
        </w:rPr>
        <w:t xml:space="preserve">Armstrong </w:t>
      </w:r>
      <w:r w:rsidR="003D2E5F">
        <w:rPr>
          <w:rFonts w:ascii="Garamond" w:hAnsi="Garamond"/>
        </w:rPr>
        <w:t>et al</w:t>
      </w:r>
      <w:r w:rsidR="003D2E5F" w:rsidRPr="003D584D">
        <w:rPr>
          <w:rFonts w:ascii="Garamond" w:hAnsi="Garamond"/>
        </w:rPr>
        <w:t>.</w:t>
      </w:r>
      <w:r w:rsidR="003D2E5F">
        <w:rPr>
          <w:rFonts w:ascii="Garamond" w:hAnsi="Garamond"/>
        </w:rPr>
        <w:t>,</w:t>
      </w:r>
      <w:r w:rsidR="003D2E5F" w:rsidRPr="00110BF0">
        <w:rPr>
          <w:rFonts w:ascii="Garamond" w:hAnsi="Garamond"/>
        </w:rPr>
        <w:t xml:space="preserve"> </w:t>
      </w:r>
      <w:r w:rsidR="003D2E5F">
        <w:rPr>
          <w:rFonts w:ascii="Garamond" w:hAnsi="Garamond"/>
        </w:rPr>
        <w:t>2000;</w:t>
      </w:r>
      <w:r w:rsidR="003D2E5F" w:rsidRPr="003D2E5F">
        <w:rPr>
          <w:rFonts w:ascii="Garamond" w:hAnsi="Garamond"/>
        </w:rPr>
        <w:t xml:space="preserve"> </w:t>
      </w:r>
      <w:r w:rsidR="003D2E5F" w:rsidRPr="003D584D">
        <w:rPr>
          <w:rFonts w:ascii="Garamond" w:hAnsi="Garamond"/>
        </w:rPr>
        <w:t xml:space="preserve">Nishioka </w:t>
      </w:r>
      <w:r w:rsidR="003D2E5F">
        <w:rPr>
          <w:rFonts w:ascii="Garamond" w:hAnsi="Garamond"/>
        </w:rPr>
        <w:t>et al., 2002;</w:t>
      </w:r>
      <w:r w:rsidR="003D2E5F" w:rsidRPr="003D584D">
        <w:rPr>
          <w:rFonts w:ascii="Garamond" w:hAnsi="Garamond"/>
        </w:rPr>
        <w:t xml:space="preserve"> Cuyper and Perez-Cotapos</w:t>
      </w:r>
      <w:r w:rsidR="003D2E5F">
        <w:rPr>
          <w:rFonts w:ascii="Garamond" w:hAnsi="Garamond"/>
        </w:rPr>
        <w:t xml:space="preserve">, 2010; </w:t>
      </w:r>
      <w:r w:rsidR="003D2E5F">
        <w:rPr>
          <w:rFonts w:ascii="Garamond" w:hAnsi="Garamond"/>
          <w:bCs/>
        </w:rPr>
        <w:t xml:space="preserve">Rania and Scott </w:t>
      </w:r>
      <w:r w:rsidR="003D2E5F" w:rsidRPr="003D584D">
        <w:rPr>
          <w:rFonts w:ascii="Garamond" w:hAnsi="Garamond"/>
          <w:bCs/>
        </w:rPr>
        <w:t>2012</w:t>
      </w:r>
      <w:r w:rsidR="007B24BA">
        <w:rPr>
          <w:rFonts w:ascii="Garamond" w:hAnsi="Garamond"/>
          <w:color w:val="auto"/>
        </w:rPr>
        <w:t>)</w:t>
      </w:r>
      <w:r w:rsidRPr="000B14DE">
        <w:rPr>
          <w:rFonts w:ascii="Garamond" w:hAnsi="Garamond"/>
          <w:color w:val="auto"/>
        </w:rPr>
        <w:t xml:space="preserve">. However, a significant number of complications can be traced to professional </w:t>
      </w:r>
      <w:r w:rsidR="003D2E5F" w:rsidRPr="000B14DE">
        <w:rPr>
          <w:rFonts w:ascii="Garamond" w:hAnsi="Garamond"/>
          <w:color w:val="auto"/>
        </w:rPr>
        <w:t>practice</w:t>
      </w:r>
      <w:r w:rsidR="003D2E5F">
        <w:rPr>
          <w:rFonts w:ascii="Garamond" w:hAnsi="Garamond"/>
          <w:color w:val="auto"/>
        </w:rPr>
        <w:t xml:space="preserve"> (</w:t>
      </w:r>
      <w:r w:rsidR="003D2E5F">
        <w:rPr>
          <w:rFonts w:ascii="Garamond" w:hAnsi="Garamond"/>
        </w:rPr>
        <w:t xml:space="preserve">Haley and Fischer 2001; </w:t>
      </w:r>
      <w:r w:rsidR="003D2E5F" w:rsidRPr="003D584D">
        <w:rPr>
          <w:rFonts w:ascii="Garamond" w:hAnsi="Garamond"/>
        </w:rPr>
        <w:t>Cuyper and Perez-Cotapos</w:t>
      </w:r>
      <w:r w:rsidR="003D2E5F">
        <w:rPr>
          <w:rFonts w:ascii="Garamond" w:hAnsi="Garamond"/>
        </w:rPr>
        <w:t>, 2010</w:t>
      </w:r>
      <w:r w:rsidR="007B24BA">
        <w:rPr>
          <w:rFonts w:ascii="Garamond" w:hAnsi="Garamond"/>
          <w:color w:val="auto"/>
        </w:rPr>
        <w:t>)</w:t>
      </w:r>
      <w:r w:rsidRPr="000B14DE">
        <w:rPr>
          <w:rFonts w:ascii="Garamond" w:hAnsi="Garamond"/>
          <w:color w:val="auto"/>
        </w:rPr>
        <w:t>. Often, the definition of a professional practice in these situations (i.e. with link to reported complications) is blurred by different criteria for definition i.e. practitioner in a dedicated parlour who complies with regulation, practitioner with a tattoo gun, practitioner who has conducted a lot of tattoos, practitioner who displays evidence of attendance at a training/course</w:t>
      </w:r>
      <w:r w:rsidR="008C2851">
        <w:rPr>
          <w:rFonts w:ascii="Garamond" w:hAnsi="Garamond"/>
          <w:color w:val="auto"/>
        </w:rPr>
        <w:t>.</w:t>
      </w:r>
      <w:r w:rsidR="007B24BA">
        <w:rPr>
          <w:rFonts w:ascii="Garamond" w:hAnsi="Garamond"/>
          <w:color w:val="auto"/>
        </w:rPr>
        <w:t xml:space="preserve"> </w:t>
      </w:r>
      <w:r w:rsidRPr="000B14DE">
        <w:rPr>
          <w:rFonts w:ascii="Garamond" w:hAnsi="Garamond"/>
          <w:color w:val="auto"/>
        </w:rPr>
        <w:t>Irrespective of the definition, common theme amongst these professional practices is the poor understanding of aseptic practice, poor after-care knowledge and understanding, and poor awareness of complications that could arise from their practice</w:t>
      </w:r>
      <w:r w:rsidR="008C2851">
        <w:rPr>
          <w:rFonts w:ascii="Garamond" w:hAnsi="Garamond"/>
          <w:color w:val="auto"/>
        </w:rPr>
        <w:t>.</w:t>
      </w:r>
      <w:r w:rsidRPr="000B14DE">
        <w:rPr>
          <w:rFonts w:ascii="Garamond" w:hAnsi="Garamond"/>
          <w:color w:val="auto"/>
        </w:rPr>
        <w:t xml:space="preserve">  It is often the case that the clients are also not aware of these</w:t>
      </w:r>
      <w:r w:rsidR="008C2851">
        <w:rPr>
          <w:rFonts w:ascii="Garamond" w:hAnsi="Garamond"/>
          <w:color w:val="auto"/>
        </w:rPr>
        <w:t>,</w:t>
      </w:r>
      <w:r w:rsidRPr="000B14DE">
        <w:rPr>
          <w:rFonts w:ascii="Garamond" w:hAnsi="Garamond"/>
          <w:color w:val="auto"/>
        </w:rPr>
        <w:t xml:space="preserve"> either</w:t>
      </w:r>
      <w:r w:rsidR="008C2851">
        <w:rPr>
          <w:rFonts w:ascii="Garamond" w:hAnsi="Garamond"/>
          <w:color w:val="auto"/>
        </w:rPr>
        <w:t>.</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Complications tend to arise in the immediate hours (e.g. bleeding, swelling and itching) or in the weeks following the procedure (e.g. infections, psychosocial issues) and these latter complications are sometimes long term with irreversible consequences.</w:t>
      </w:r>
    </w:p>
    <w:p w:rsidR="00006F4D" w:rsidRPr="000B14DE" w:rsidRDefault="00006F4D" w:rsidP="000B14DE">
      <w:pPr>
        <w:pStyle w:val="Heading2"/>
        <w:spacing w:line="480" w:lineRule="auto"/>
        <w:rPr>
          <w:rFonts w:ascii="Garamond" w:hAnsi="Garamond"/>
        </w:rPr>
      </w:pPr>
      <w:bookmarkStart w:id="16" w:name="_Toc325554586"/>
      <w:r w:rsidRPr="000B14DE">
        <w:rPr>
          <w:rFonts w:ascii="Garamond" w:hAnsi="Garamond"/>
        </w:rPr>
        <w:t>Training and Qualifications</w:t>
      </w:r>
      <w:bookmarkEnd w:id="16"/>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There is no formally recognised training or qualification for tattooing in the UK. Most professional tattooist learn through apprenticeship, some </w:t>
      </w:r>
      <w:r w:rsidR="00BB5E47">
        <w:rPr>
          <w:rFonts w:ascii="Garamond" w:hAnsi="Garamond"/>
          <w:color w:val="auto"/>
        </w:rPr>
        <w:t>(in the USA)</w:t>
      </w:r>
      <w:r w:rsidR="00BB5E47" w:rsidRPr="000B14DE">
        <w:rPr>
          <w:rFonts w:ascii="Garamond" w:hAnsi="Garamond"/>
          <w:color w:val="auto"/>
        </w:rPr>
        <w:t xml:space="preserve"> </w:t>
      </w:r>
      <w:r w:rsidRPr="000B14DE">
        <w:rPr>
          <w:rFonts w:ascii="Garamond" w:hAnsi="Garamond"/>
          <w:color w:val="auto"/>
        </w:rPr>
        <w:t xml:space="preserve">attend </w:t>
      </w:r>
      <w:r w:rsidR="0079559B">
        <w:rPr>
          <w:rFonts w:ascii="Garamond" w:hAnsi="Garamond"/>
          <w:color w:val="auto"/>
        </w:rPr>
        <w:t xml:space="preserve">accredited </w:t>
      </w:r>
      <w:r w:rsidRPr="000B14DE">
        <w:rPr>
          <w:rFonts w:ascii="Garamond" w:hAnsi="Garamond"/>
          <w:color w:val="auto"/>
        </w:rPr>
        <w:t>courses</w:t>
      </w:r>
      <w:r w:rsidR="0079559B">
        <w:rPr>
          <w:rFonts w:ascii="Garamond" w:hAnsi="Garamond"/>
          <w:color w:val="auto"/>
        </w:rPr>
        <w:t xml:space="preserve"> </w:t>
      </w:r>
      <w:r w:rsidRPr="000B14DE">
        <w:rPr>
          <w:rFonts w:ascii="Garamond" w:hAnsi="Garamond"/>
          <w:color w:val="auto"/>
        </w:rPr>
        <w:t>while others (most amateur tattooist) learn through watching videos</w:t>
      </w:r>
      <w:r w:rsidR="00634B9D">
        <w:rPr>
          <w:rFonts w:ascii="Garamond" w:hAnsi="Garamond"/>
          <w:color w:val="auto"/>
        </w:rPr>
        <w:t xml:space="preserve">; a significant number of these practitioners are registered with an association that encourages professional practice, the </w:t>
      </w:r>
      <w:r w:rsidR="00634B9D" w:rsidRPr="000B14DE">
        <w:rPr>
          <w:rFonts w:ascii="Garamond" w:hAnsi="Garamond"/>
          <w:color w:val="auto"/>
        </w:rPr>
        <w:t>Tattoo and Piercing Industry Union</w:t>
      </w:r>
      <w:r w:rsidR="00634B9D">
        <w:rPr>
          <w:rFonts w:ascii="Garamond" w:hAnsi="Garamond"/>
          <w:color w:val="auto"/>
        </w:rPr>
        <w:t xml:space="preserve"> (TPI)</w:t>
      </w:r>
      <w:r w:rsidR="006B16FF">
        <w:rPr>
          <w:rFonts w:ascii="Garamond" w:hAnsi="Garamond"/>
          <w:color w:val="auto"/>
        </w:rPr>
        <w:t>,</w:t>
      </w:r>
      <w:r w:rsidR="003D2E5F">
        <w:rPr>
          <w:rFonts w:ascii="Garamond" w:hAnsi="Garamond"/>
          <w:color w:val="auto"/>
        </w:rPr>
        <w:t xml:space="preserve"> </w:t>
      </w:r>
      <w:r w:rsidR="006B16FF">
        <w:rPr>
          <w:rFonts w:ascii="Garamond" w:hAnsi="Garamond"/>
          <w:color w:val="auto"/>
        </w:rPr>
        <w:t>bei</w:t>
      </w:r>
      <w:r w:rsidR="00634B9D">
        <w:rPr>
          <w:rFonts w:ascii="Garamond" w:hAnsi="Garamond"/>
          <w:color w:val="auto"/>
        </w:rPr>
        <w:t>n</w:t>
      </w:r>
      <w:r w:rsidR="006B16FF">
        <w:rPr>
          <w:rFonts w:ascii="Garamond" w:hAnsi="Garamond"/>
          <w:color w:val="auto"/>
        </w:rPr>
        <w:t>g</w:t>
      </w:r>
      <w:r w:rsidR="00634B9D">
        <w:rPr>
          <w:rFonts w:ascii="Garamond" w:hAnsi="Garamond"/>
          <w:color w:val="auto"/>
        </w:rPr>
        <w:t xml:space="preserve"> the most prominent association in the UK </w:t>
      </w:r>
      <w:r w:rsidR="003D2E5F">
        <w:rPr>
          <w:rFonts w:ascii="Garamond" w:hAnsi="Garamond"/>
          <w:color w:val="auto"/>
        </w:rPr>
        <w:t>(</w:t>
      </w:r>
      <w:r w:rsidR="00634B9D" w:rsidRPr="000A7ED8">
        <w:rPr>
          <w:rFonts w:ascii="Garamond" w:hAnsi="Garamond"/>
          <w:color w:val="auto"/>
        </w:rPr>
        <w:t>Alan</w:t>
      </w:r>
      <w:r w:rsidR="00634B9D">
        <w:rPr>
          <w:rFonts w:ascii="Garamond" w:hAnsi="Garamond"/>
          <w:color w:val="auto"/>
        </w:rPr>
        <w:t xml:space="preserve"> Beswick and Calderdale Council, 2008; Wikipedia, 2012)</w:t>
      </w:r>
      <w:r w:rsidRPr="000B14DE">
        <w:rPr>
          <w:rFonts w:ascii="Garamond" w:hAnsi="Garamond"/>
          <w:color w:val="auto"/>
        </w:rPr>
        <w:t xml:space="preserve">.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There have been suggestions that tattooist should attend a relevant course and be supervised by someone with at least 5 years experience in tattooing</w:t>
      </w:r>
      <w:r w:rsidR="008C2851">
        <w:rPr>
          <w:rFonts w:ascii="Garamond" w:hAnsi="Garamond"/>
          <w:color w:val="auto"/>
        </w:rPr>
        <w:t xml:space="preserve"> </w:t>
      </w:r>
      <w:r w:rsidR="007B24BA">
        <w:rPr>
          <w:rFonts w:ascii="Garamond" w:hAnsi="Garamond"/>
          <w:color w:val="auto"/>
        </w:rPr>
        <w:t>(</w:t>
      </w:r>
      <w:r w:rsidR="00634B9D" w:rsidRPr="000A7ED8">
        <w:rPr>
          <w:rFonts w:ascii="Garamond" w:hAnsi="Garamond"/>
          <w:color w:val="auto"/>
        </w:rPr>
        <w:t>Alan</w:t>
      </w:r>
      <w:r w:rsidR="00634B9D">
        <w:rPr>
          <w:rFonts w:ascii="Garamond" w:hAnsi="Garamond"/>
          <w:color w:val="auto"/>
        </w:rPr>
        <w:t xml:space="preserve"> Beswick and Calderdale Council, 2008; </w:t>
      </w:r>
      <w:r w:rsidR="00634B9D" w:rsidRPr="000A7ED8">
        <w:rPr>
          <w:rFonts w:ascii="Garamond" w:hAnsi="Garamond"/>
          <w:color w:val="auto"/>
        </w:rPr>
        <w:t>Whiteman-hoyte and London Special Treatment Nurses’ group</w:t>
      </w:r>
      <w:r w:rsidR="00634B9D">
        <w:rPr>
          <w:rFonts w:ascii="Garamond" w:hAnsi="Garamond"/>
          <w:color w:val="auto"/>
        </w:rPr>
        <w:t>, 2011</w:t>
      </w:r>
      <w:r w:rsidR="007B24BA">
        <w:rPr>
          <w:rFonts w:ascii="Garamond" w:hAnsi="Garamond"/>
          <w:color w:val="auto"/>
        </w:rPr>
        <w:t>)</w:t>
      </w:r>
      <w:r w:rsidR="00EB60E8" w:rsidRPr="000B14DE">
        <w:rPr>
          <w:rFonts w:ascii="Garamond" w:hAnsi="Garamond"/>
          <w:color w:val="auto"/>
        </w:rPr>
        <w:t>.</w:t>
      </w:r>
      <w:r w:rsidR="008C2851">
        <w:rPr>
          <w:rFonts w:ascii="Garamond" w:hAnsi="Garamond"/>
          <w:color w:val="auto"/>
        </w:rPr>
        <w:t xml:space="preserve"> </w:t>
      </w:r>
      <w:r w:rsidR="002F725B" w:rsidRPr="002F725B">
        <w:rPr>
          <w:rFonts w:ascii="Garamond" w:hAnsi="Garamond"/>
          <w:color w:val="auto"/>
        </w:rPr>
        <w:t xml:space="preserve">There was an initiative by </w:t>
      </w:r>
      <w:r w:rsidR="002F725B">
        <w:rPr>
          <w:rFonts w:ascii="Garamond" w:hAnsi="Garamond"/>
          <w:color w:val="auto"/>
        </w:rPr>
        <w:t>Health and Beauty Industry Association (</w:t>
      </w:r>
      <w:r w:rsidR="002F725B" w:rsidRPr="002F725B">
        <w:rPr>
          <w:rFonts w:ascii="Garamond" w:hAnsi="Garamond"/>
          <w:color w:val="auto"/>
        </w:rPr>
        <w:t>HABIA</w:t>
      </w:r>
      <w:r w:rsidR="002F725B">
        <w:rPr>
          <w:rFonts w:ascii="Garamond" w:hAnsi="Garamond"/>
          <w:color w:val="auto"/>
        </w:rPr>
        <w:t>)</w:t>
      </w:r>
      <w:r w:rsidR="002F725B" w:rsidRPr="002F725B">
        <w:rPr>
          <w:rFonts w:ascii="Garamond" w:hAnsi="Garamond"/>
          <w:color w:val="auto"/>
        </w:rPr>
        <w:t xml:space="preserve"> several years ago to work with industry to develop occupational standards for tattooing and body piercing. </w:t>
      </w:r>
      <w:r w:rsidR="00D47171">
        <w:rPr>
          <w:rFonts w:ascii="Garamond" w:hAnsi="Garamond"/>
          <w:color w:val="auto"/>
        </w:rPr>
        <w:t>Tattoo and Piercing Industry Union (TPI) i.e. the organisation representing the industry carried this initiative forward</w:t>
      </w:r>
      <w:r w:rsidR="002F725B">
        <w:rPr>
          <w:rFonts w:ascii="Garamond" w:hAnsi="Garamond"/>
          <w:color w:val="auto"/>
        </w:rPr>
        <w:t>. More recently, the TPI</w:t>
      </w:r>
      <w:r w:rsidRPr="000B14DE">
        <w:rPr>
          <w:rFonts w:ascii="Garamond" w:hAnsi="Garamond"/>
          <w:color w:val="auto"/>
        </w:rPr>
        <w:t xml:space="preserve"> have suggested an apprenticeship type of </w:t>
      </w:r>
      <w:r w:rsidR="00634B9D" w:rsidRPr="000B14DE">
        <w:rPr>
          <w:rFonts w:ascii="Garamond" w:hAnsi="Garamond"/>
          <w:color w:val="auto"/>
        </w:rPr>
        <w:t>training</w:t>
      </w:r>
      <w:r w:rsidR="00634B9D">
        <w:rPr>
          <w:rFonts w:ascii="Garamond" w:hAnsi="Garamond"/>
          <w:color w:val="auto"/>
        </w:rPr>
        <w:t xml:space="preserve"> </w:t>
      </w:r>
      <w:r w:rsidR="001B47D1">
        <w:rPr>
          <w:rFonts w:ascii="Garamond" w:hAnsi="Garamond"/>
          <w:color w:val="auto"/>
        </w:rPr>
        <w:t xml:space="preserve">as a minimum training/qualification requirement </w:t>
      </w:r>
      <w:r w:rsidR="00634B9D">
        <w:rPr>
          <w:rFonts w:ascii="Garamond" w:hAnsi="Garamond"/>
          <w:color w:val="auto"/>
        </w:rPr>
        <w:t>(</w:t>
      </w:r>
      <w:r w:rsidR="00634B9D" w:rsidRPr="000A7ED8">
        <w:rPr>
          <w:rFonts w:ascii="Garamond" w:hAnsi="Garamond"/>
          <w:color w:val="auto"/>
        </w:rPr>
        <w:t>Alan</w:t>
      </w:r>
      <w:r w:rsidR="00634B9D">
        <w:rPr>
          <w:rFonts w:ascii="Garamond" w:hAnsi="Garamond"/>
          <w:color w:val="auto"/>
        </w:rPr>
        <w:t xml:space="preserve"> Beswick and Calderdale Council, 2008)</w:t>
      </w:r>
      <w:r w:rsidRPr="000B14DE">
        <w:rPr>
          <w:rFonts w:ascii="Garamond" w:hAnsi="Garamond"/>
          <w:color w:val="auto"/>
        </w:rPr>
        <w:t xml:space="preserve">. None of these suggestions has been formally agreed hence </w:t>
      </w:r>
      <w:r w:rsidR="001B47D1">
        <w:rPr>
          <w:rFonts w:ascii="Garamond" w:hAnsi="Garamond"/>
          <w:color w:val="auto"/>
        </w:rPr>
        <w:t xml:space="preserve">no minimum training/qualification is </w:t>
      </w:r>
      <w:r w:rsidR="002F725B">
        <w:rPr>
          <w:rFonts w:ascii="Garamond" w:hAnsi="Garamond"/>
          <w:color w:val="auto"/>
        </w:rPr>
        <w:t xml:space="preserve">currently </w:t>
      </w:r>
      <w:r w:rsidRPr="000B14DE">
        <w:rPr>
          <w:rFonts w:ascii="Garamond" w:hAnsi="Garamond"/>
          <w:color w:val="auto"/>
        </w:rPr>
        <w:t xml:space="preserve">enforceable. </w:t>
      </w:r>
    </w:p>
    <w:p w:rsidR="00006F4D" w:rsidRPr="000B14DE" w:rsidRDefault="00006F4D" w:rsidP="000B14DE">
      <w:pPr>
        <w:pStyle w:val="Heading2"/>
        <w:spacing w:line="480" w:lineRule="auto"/>
        <w:rPr>
          <w:rFonts w:ascii="Garamond" w:hAnsi="Garamond"/>
        </w:rPr>
      </w:pPr>
      <w:bookmarkStart w:id="17" w:name="_Toc325554587"/>
      <w:r w:rsidRPr="000B14DE">
        <w:rPr>
          <w:rFonts w:ascii="Garamond" w:hAnsi="Garamond"/>
        </w:rPr>
        <w:t>Complications</w:t>
      </w:r>
      <w:bookmarkEnd w:id="17"/>
    </w:p>
    <w:p w:rsidR="00006F4D" w:rsidRPr="000B14DE" w:rsidRDefault="001B47D1" w:rsidP="00E61BB2">
      <w:pPr>
        <w:spacing w:line="360" w:lineRule="auto"/>
        <w:jc w:val="both"/>
        <w:rPr>
          <w:rFonts w:ascii="Garamond" w:hAnsi="Garamond"/>
          <w:color w:val="auto"/>
        </w:rPr>
      </w:pPr>
      <w:r>
        <w:rPr>
          <w:rFonts w:ascii="Garamond" w:hAnsi="Garamond"/>
          <w:color w:val="auto"/>
        </w:rPr>
        <w:t>Generally, t</w:t>
      </w:r>
      <w:r w:rsidR="00006F4D" w:rsidRPr="000B14DE">
        <w:rPr>
          <w:rFonts w:ascii="Garamond" w:hAnsi="Garamond"/>
          <w:color w:val="auto"/>
        </w:rPr>
        <w:t>he risk of complications depends on the following</w:t>
      </w:r>
      <w:r>
        <w:rPr>
          <w:rFonts w:ascii="Garamond" w:hAnsi="Garamond"/>
          <w:color w:val="auto"/>
        </w:rPr>
        <w:t xml:space="preserve"> (</w:t>
      </w:r>
      <w:r w:rsidRPr="003D584D">
        <w:rPr>
          <w:rFonts w:ascii="Garamond" w:hAnsi="Garamond"/>
        </w:rPr>
        <w:t>Cuyper and Perez-Cotapos</w:t>
      </w:r>
      <w:r>
        <w:rPr>
          <w:rFonts w:ascii="Garamond" w:hAnsi="Garamond"/>
        </w:rPr>
        <w:t>, 2010</w:t>
      </w:r>
      <w:r w:rsidR="007B24BA">
        <w:rPr>
          <w:rFonts w:ascii="Garamond" w:hAnsi="Garamond"/>
          <w:color w:val="auto"/>
        </w:rPr>
        <w:t>)</w:t>
      </w:r>
      <w:r w:rsidR="00006F4D" w:rsidRPr="000B14DE">
        <w:rPr>
          <w:rFonts w:ascii="Garamond" w:hAnsi="Garamond"/>
          <w:color w:val="auto"/>
        </w:rPr>
        <w:t xml:space="preserve">: </w:t>
      </w:r>
    </w:p>
    <w:p w:rsidR="00006F4D" w:rsidRPr="000B14DE" w:rsidRDefault="00006F4D" w:rsidP="00E61BB2">
      <w:pPr>
        <w:spacing w:line="360" w:lineRule="auto"/>
        <w:jc w:val="both"/>
        <w:rPr>
          <w:rFonts w:ascii="Garamond" w:hAnsi="Garamond"/>
          <w:color w:val="auto"/>
        </w:rPr>
      </w:pPr>
      <w:r w:rsidRPr="000B14DE">
        <w:rPr>
          <w:rFonts w:ascii="Garamond" w:hAnsi="Garamond"/>
          <w:i/>
          <w:color w:val="auto"/>
          <w:u w:val="single"/>
        </w:rPr>
        <w:t>The tattooist</w:t>
      </w:r>
      <w:r w:rsidRPr="000B14DE">
        <w:rPr>
          <w:rFonts w:ascii="Garamond" w:hAnsi="Garamond"/>
          <w:color w:val="auto"/>
        </w:rPr>
        <w:t xml:space="preserve"> i.e. pre-existing medical condition, training/skills, standards of infection control, provision of accurate information on risk and aftercare to clients, reflection on practise through adequate record keeping and checks.</w:t>
      </w:r>
    </w:p>
    <w:p w:rsidR="00006F4D" w:rsidRPr="000B14DE" w:rsidRDefault="00006F4D" w:rsidP="00E61BB2">
      <w:pPr>
        <w:spacing w:line="360" w:lineRule="auto"/>
        <w:jc w:val="both"/>
        <w:rPr>
          <w:rFonts w:ascii="Garamond" w:hAnsi="Garamond"/>
          <w:color w:val="auto"/>
        </w:rPr>
      </w:pPr>
      <w:r w:rsidRPr="008C2851">
        <w:rPr>
          <w:rFonts w:ascii="Garamond" w:hAnsi="Garamond"/>
          <w:i/>
          <w:color w:val="auto"/>
          <w:u w:val="single"/>
        </w:rPr>
        <w:t>The environment and materials used</w:t>
      </w:r>
      <w:r w:rsidRPr="000B14DE">
        <w:rPr>
          <w:rFonts w:ascii="Garamond" w:hAnsi="Garamond"/>
          <w:color w:val="auto"/>
        </w:rPr>
        <w:t xml:space="preserve"> i.e. aseptic environment, sterile instruments, and appropriate space for practice, sterile and licensed pigments.</w:t>
      </w:r>
    </w:p>
    <w:p w:rsidR="00925240" w:rsidRDefault="00006F4D" w:rsidP="00925240">
      <w:pPr>
        <w:spacing w:line="360" w:lineRule="auto"/>
        <w:jc w:val="both"/>
        <w:rPr>
          <w:rFonts w:ascii="Garamond" w:hAnsi="Garamond"/>
          <w:color w:val="auto"/>
        </w:rPr>
      </w:pPr>
      <w:r w:rsidRPr="000B14DE">
        <w:rPr>
          <w:rFonts w:ascii="Garamond" w:hAnsi="Garamond"/>
          <w:i/>
          <w:color w:val="auto"/>
          <w:u w:val="single"/>
        </w:rPr>
        <w:t>The client</w:t>
      </w:r>
      <w:r w:rsidR="001B47D1" w:rsidRPr="001B47D1">
        <w:rPr>
          <w:rFonts w:ascii="Garamond" w:hAnsi="Garamond"/>
          <w:color w:val="auto"/>
        </w:rPr>
        <w:t xml:space="preserve"> i.e</w:t>
      </w:r>
      <w:r w:rsidR="001B47D1">
        <w:rPr>
          <w:rFonts w:ascii="Garamond" w:hAnsi="Garamond"/>
          <w:color w:val="auto"/>
        </w:rPr>
        <w:t>.</w:t>
      </w:r>
      <w:r w:rsidRPr="000B14DE">
        <w:rPr>
          <w:rFonts w:ascii="Garamond" w:hAnsi="Garamond"/>
          <w:color w:val="auto"/>
        </w:rPr>
        <w:t xml:space="preserve"> </w:t>
      </w:r>
      <w:r w:rsidR="004014F1">
        <w:rPr>
          <w:rFonts w:ascii="Garamond" w:hAnsi="Garamond"/>
          <w:color w:val="auto"/>
        </w:rPr>
        <w:t xml:space="preserve">the client’s </w:t>
      </w:r>
      <w:r w:rsidRPr="000B14DE">
        <w:rPr>
          <w:rFonts w:ascii="Garamond" w:hAnsi="Garamond"/>
          <w:color w:val="auto"/>
        </w:rPr>
        <w:t>pre-existing medical condit</w:t>
      </w:r>
      <w:r w:rsidR="00D663B0">
        <w:rPr>
          <w:rFonts w:ascii="Garamond" w:hAnsi="Garamond"/>
          <w:color w:val="auto"/>
        </w:rPr>
        <w:t xml:space="preserve">ion, </w:t>
      </w:r>
      <w:r w:rsidR="004014F1">
        <w:rPr>
          <w:rFonts w:ascii="Garamond" w:hAnsi="Garamond"/>
          <w:color w:val="auto"/>
        </w:rPr>
        <w:t xml:space="preserve">their </w:t>
      </w:r>
      <w:r w:rsidR="00D663B0">
        <w:rPr>
          <w:rFonts w:ascii="Garamond" w:hAnsi="Garamond"/>
          <w:color w:val="auto"/>
        </w:rPr>
        <w:t>genetic predisposition,</w:t>
      </w:r>
      <w:r w:rsidRPr="000B14DE">
        <w:rPr>
          <w:rFonts w:ascii="Garamond" w:hAnsi="Garamond"/>
          <w:color w:val="auto"/>
        </w:rPr>
        <w:t xml:space="preserve"> aftercare </w:t>
      </w:r>
      <w:r w:rsidR="00D663B0">
        <w:rPr>
          <w:rFonts w:ascii="Garamond" w:hAnsi="Garamond"/>
          <w:color w:val="auto"/>
        </w:rPr>
        <w:t>knowledge</w:t>
      </w:r>
      <w:r w:rsidRPr="000B14DE">
        <w:rPr>
          <w:rFonts w:ascii="Garamond" w:hAnsi="Garamond"/>
          <w:color w:val="auto"/>
        </w:rPr>
        <w:t xml:space="preserve"> and</w:t>
      </w:r>
      <w:r w:rsidR="00D663B0">
        <w:rPr>
          <w:rFonts w:ascii="Garamond" w:hAnsi="Garamond"/>
          <w:color w:val="auto"/>
        </w:rPr>
        <w:t xml:space="preserve"> the attitude of the client to aftercare</w:t>
      </w:r>
      <w:r w:rsidRPr="000B14DE">
        <w:rPr>
          <w:rFonts w:ascii="Garamond" w:hAnsi="Garamond"/>
          <w:color w:val="auto"/>
        </w:rPr>
        <w:t>.</w:t>
      </w:r>
    </w:p>
    <w:p w:rsidR="00006F4D" w:rsidRPr="000B14DE" w:rsidRDefault="00006F4D" w:rsidP="00EB60E8">
      <w:pPr>
        <w:spacing w:line="480" w:lineRule="auto"/>
        <w:jc w:val="both"/>
        <w:rPr>
          <w:rFonts w:ascii="Garamond" w:hAnsi="Garamond"/>
          <w:color w:val="auto"/>
        </w:rPr>
      </w:pPr>
      <w:r w:rsidRPr="000B14DE">
        <w:rPr>
          <w:rFonts w:ascii="Garamond" w:hAnsi="Garamond"/>
          <w:color w:val="auto"/>
        </w:rPr>
        <w:t>Most noted complications are:</w:t>
      </w:r>
    </w:p>
    <w:p w:rsidR="00006F4D" w:rsidRPr="000B14DE" w:rsidRDefault="00006F4D" w:rsidP="000B14DE">
      <w:pPr>
        <w:pStyle w:val="Heading3"/>
        <w:spacing w:line="360" w:lineRule="auto"/>
        <w:rPr>
          <w:rFonts w:ascii="Garamond" w:hAnsi="Garamond"/>
          <w:i/>
        </w:rPr>
      </w:pPr>
      <w:bookmarkStart w:id="18" w:name="_Toc325554588"/>
      <w:r w:rsidRPr="000B36C5">
        <w:rPr>
          <w:rFonts w:ascii="Garamond" w:hAnsi="Garamond"/>
        </w:rPr>
        <w:t>Allergies</w:t>
      </w:r>
      <w:bookmarkEnd w:id="18"/>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Most of these are attributed to materials used, mainly azo dyes, with specific reactions to mercury salt, nickel sulphate, crunabar, quinacridon, cadmium sulphide</w:t>
      </w:r>
      <w:r w:rsidR="001B47D1" w:rsidRPr="001B47D1">
        <w:rPr>
          <w:rFonts w:ascii="Garamond" w:hAnsi="Garamond"/>
        </w:rPr>
        <w:t xml:space="preserve"> </w:t>
      </w:r>
      <w:r w:rsidR="001B47D1">
        <w:rPr>
          <w:rFonts w:ascii="Garamond" w:hAnsi="Garamond"/>
        </w:rPr>
        <w:t>(</w:t>
      </w:r>
      <w:r w:rsidR="001B47D1" w:rsidRPr="003D584D">
        <w:rPr>
          <w:rFonts w:ascii="Garamond" w:hAnsi="Garamond"/>
        </w:rPr>
        <w:t xml:space="preserve">Deschesnes </w:t>
      </w:r>
      <w:r w:rsidR="001B47D1">
        <w:rPr>
          <w:rFonts w:ascii="Garamond" w:hAnsi="Garamond"/>
        </w:rPr>
        <w:t xml:space="preserve">et al., 2006; </w:t>
      </w:r>
      <w:r w:rsidR="001B47D1" w:rsidRPr="003D584D">
        <w:rPr>
          <w:rFonts w:ascii="Garamond" w:hAnsi="Garamond"/>
        </w:rPr>
        <w:t>Cuyper and Perez-Cotapos</w:t>
      </w:r>
      <w:r w:rsidR="001B47D1">
        <w:rPr>
          <w:rFonts w:ascii="Garamond" w:hAnsi="Garamond"/>
        </w:rPr>
        <w:t>, 2010)</w:t>
      </w:r>
      <w:r w:rsidRPr="000B14DE">
        <w:rPr>
          <w:rFonts w:ascii="Garamond" w:hAnsi="Garamond"/>
          <w:color w:val="auto"/>
        </w:rPr>
        <w:t xml:space="preserve">. More recently are reactions from </w:t>
      </w:r>
      <w:r w:rsidR="001B47D1">
        <w:rPr>
          <w:rFonts w:ascii="Garamond" w:hAnsi="Garamond"/>
          <w:color w:val="auto"/>
        </w:rPr>
        <w:t xml:space="preserve">sunlight and </w:t>
      </w:r>
      <w:r w:rsidRPr="000B14DE">
        <w:rPr>
          <w:rFonts w:ascii="Garamond" w:hAnsi="Garamond"/>
          <w:color w:val="auto"/>
        </w:rPr>
        <w:t>laser induced chemical change in tattoo pigments</w:t>
      </w:r>
      <w:r w:rsidR="001B47D1">
        <w:rPr>
          <w:rFonts w:ascii="Garamond" w:hAnsi="Garamond"/>
          <w:color w:val="auto"/>
        </w:rPr>
        <w:t xml:space="preserve"> (</w:t>
      </w:r>
      <w:r w:rsidR="001B47D1" w:rsidRPr="003D584D">
        <w:rPr>
          <w:rFonts w:ascii="Garamond" w:hAnsi="Garamond"/>
        </w:rPr>
        <w:t>Cuyper and Perez-Cotapos</w:t>
      </w:r>
      <w:r w:rsidR="001B47D1">
        <w:rPr>
          <w:rFonts w:ascii="Garamond" w:hAnsi="Garamond"/>
        </w:rPr>
        <w:t>, 2010)</w:t>
      </w:r>
      <w:r w:rsidR="001B47D1">
        <w:rPr>
          <w:rFonts w:ascii="Garamond" w:hAnsi="Garamond"/>
          <w:color w:val="auto"/>
        </w:rPr>
        <w:t xml:space="preserve">. </w:t>
      </w:r>
      <w:r w:rsidRPr="000B14DE">
        <w:rPr>
          <w:rFonts w:ascii="Garamond" w:hAnsi="Garamond"/>
          <w:color w:val="auto"/>
        </w:rPr>
        <w:t>It appears most of the allergies are attributed to red and yellow tattoos.</w:t>
      </w:r>
    </w:p>
    <w:p w:rsidR="00006F4D" w:rsidRPr="000B14DE" w:rsidRDefault="00006F4D" w:rsidP="000B14DE">
      <w:pPr>
        <w:pStyle w:val="Heading3"/>
        <w:spacing w:line="360" w:lineRule="auto"/>
        <w:rPr>
          <w:rFonts w:ascii="Garamond" w:hAnsi="Garamond"/>
          <w:i/>
          <w:lang w:val="fr-FR"/>
        </w:rPr>
      </w:pPr>
      <w:bookmarkStart w:id="19" w:name="_Toc325554589"/>
      <w:r w:rsidRPr="000B14DE">
        <w:rPr>
          <w:rFonts w:ascii="Garamond" w:hAnsi="Garamond"/>
        </w:rPr>
        <w:t>Infections</w:t>
      </w:r>
      <w:bookmarkEnd w:id="19"/>
    </w:p>
    <w:p w:rsidR="008B6D4E" w:rsidRDefault="00006F4D" w:rsidP="00E61BB2">
      <w:pPr>
        <w:spacing w:line="360" w:lineRule="auto"/>
        <w:jc w:val="both"/>
        <w:rPr>
          <w:rFonts w:ascii="Garamond" w:hAnsi="Garamond"/>
          <w:color w:val="auto"/>
        </w:rPr>
      </w:pPr>
      <w:r w:rsidRPr="000B14DE">
        <w:rPr>
          <w:rFonts w:ascii="Garamond" w:hAnsi="Garamond"/>
          <w:color w:val="auto"/>
        </w:rPr>
        <w:t xml:space="preserve">Infections after tattooing procedure are mainly dependent on hygienic measures in place, the expertise of the tattooist, and often </w:t>
      </w:r>
      <w:r w:rsidR="002F725B">
        <w:rPr>
          <w:rFonts w:ascii="Garamond" w:hAnsi="Garamond"/>
          <w:color w:val="auto"/>
        </w:rPr>
        <w:t xml:space="preserve">the </w:t>
      </w:r>
      <w:r w:rsidR="00EB60E8" w:rsidRPr="000B14DE">
        <w:rPr>
          <w:rFonts w:ascii="Garamond" w:hAnsi="Garamond"/>
          <w:color w:val="auto"/>
        </w:rPr>
        <w:t xml:space="preserve">tattooist or </w:t>
      </w:r>
      <w:r w:rsidRPr="000B14DE">
        <w:rPr>
          <w:rFonts w:ascii="Garamond" w:hAnsi="Garamond"/>
          <w:color w:val="auto"/>
        </w:rPr>
        <w:t>client</w:t>
      </w:r>
      <w:r w:rsidR="002F725B">
        <w:rPr>
          <w:rFonts w:ascii="Garamond" w:hAnsi="Garamond"/>
          <w:color w:val="auto"/>
        </w:rPr>
        <w:t>’</w:t>
      </w:r>
      <w:r w:rsidRPr="000B14DE">
        <w:rPr>
          <w:rFonts w:ascii="Garamond" w:hAnsi="Garamond"/>
          <w:color w:val="auto"/>
        </w:rPr>
        <w:t xml:space="preserve">s underlying medical condition. Commonly found infections are </w:t>
      </w:r>
      <w:r w:rsidRPr="008B6D4E">
        <w:rPr>
          <w:rFonts w:ascii="Garamond" w:hAnsi="Garamond"/>
          <w:color w:val="auto"/>
        </w:rPr>
        <w:t>those due to bacterial infections at site of tattoo and commonly implicated pathogens are streptococcus pyogenes and staphylococcus aureus</w:t>
      </w:r>
      <w:r w:rsidR="001B47D1" w:rsidRPr="008B6D4E">
        <w:rPr>
          <w:rFonts w:ascii="Garamond" w:hAnsi="Garamond"/>
          <w:color w:val="auto"/>
        </w:rPr>
        <w:t xml:space="preserve"> (</w:t>
      </w:r>
      <w:r w:rsidR="001B47D1" w:rsidRPr="008B6D4E">
        <w:rPr>
          <w:rFonts w:ascii="Garamond" w:hAnsi="Garamond"/>
        </w:rPr>
        <w:t>Cuyper and Perez-Cotapos, 2010)</w:t>
      </w:r>
      <w:r w:rsidRPr="008B6D4E">
        <w:rPr>
          <w:rFonts w:ascii="Garamond" w:hAnsi="Garamond"/>
          <w:color w:val="auto"/>
        </w:rPr>
        <w:t>. These infections have resulted in secondary infections like cellulitis, sepsis, abscess, endocarditis, and gangrene</w:t>
      </w:r>
      <w:r w:rsidR="001B47D1" w:rsidRPr="008B6D4E">
        <w:rPr>
          <w:rFonts w:ascii="Garamond" w:hAnsi="Garamond"/>
          <w:color w:val="auto"/>
        </w:rPr>
        <w:t xml:space="preserve"> (</w:t>
      </w:r>
      <w:r w:rsidR="005F578D" w:rsidRPr="008B6D4E">
        <w:rPr>
          <w:rFonts w:ascii="Garamond" w:hAnsi="Garamond"/>
          <w:color w:val="auto"/>
          <w:lang w:val="it-IT"/>
        </w:rPr>
        <w:t xml:space="preserve">Satchithananda et al., 2001; </w:t>
      </w:r>
      <w:r w:rsidR="005F578D" w:rsidRPr="008B6D4E">
        <w:rPr>
          <w:rFonts w:ascii="Garamond" w:hAnsi="Garamond"/>
          <w:color w:val="auto"/>
        </w:rPr>
        <w:t>Shebani et al., 2007</w:t>
      </w:r>
      <w:r w:rsidR="005F578D" w:rsidRPr="008B6D4E">
        <w:rPr>
          <w:rFonts w:ascii="Garamond" w:hAnsi="Garamond"/>
        </w:rPr>
        <w:t xml:space="preserve">; </w:t>
      </w:r>
      <w:r w:rsidR="001B47D1" w:rsidRPr="008B6D4E">
        <w:rPr>
          <w:rFonts w:ascii="Garamond" w:hAnsi="Garamond"/>
        </w:rPr>
        <w:t>Cuyper and Perez-Cotapos</w:t>
      </w:r>
      <w:r w:rsidR="005F578D" w:rsidRPr="008B6D4E">
        <w:rPr>
          <w:rFonts w:ascii="Garamond" w:hAnsi="Garamond"/>
        </w:rPr>
        <w:t xml:space="preserve">, </w:t>
      </w:r>
      <w:r w:rsidR="001B47D1" w:rsidRPr="008B6D4E">
        <w:rPr>
          <w:rFonts w:ascii="Garamond" w:hAnsi="Garamond"/>
        </w:rPr>
        <w:t>2010)</w:t>
      </w:r>
      <w:r w:rsidRPr="008B6D4E">
        <w:rPr>
          <w:rFonts w:ascii="Garamond" w:hAnsi="Garamond"/>
          <w:color w:val="auto"/>
        </w:rPr>
        <w:t xml:space="preserve">. </w:t>
      </w:r>
    </w:p>
    <w:p w:rsidR="00006F4D" w:rsidRPr="008B6D4E" w:rsidRDefault="00006F4D" w:rsidP="00E61BB2">
      <w:pPr>
        <w:spacing w:line="360" w:lineRule="auto"/>
        <w:jc w:val="both"/>
        <w:rPr>
          <w:rFonts w:ascii="Garamond" w:hAnsi="Garamond"/>
          <w:color w:val="auto"/>
        </w:rPr>
      </w:pPr>
      <w:r w:rsidRPr="008B6D4E">
        <w:rPr>
          <w:rFonts w:ascii="Garamond" w:hAnsi="Garamond"/>
          <w:color w:val="auto"/>
        </w:rPr>
        <w:t>Other pathoge</w:t>
      </w:r>
      <w:r w:rsidR="008B6D4E">
        <w:rPr>
          <w:rFonts w:ascii="Garamond" w:hAnsi="Garamond"/>
          <w:color w:val="auto"/>
        </w:rPr>
        <w:t>ns associated with tattooing were</w:t>
      </w:r>
      <w:r w:rsidRPr="008B6D4E">
        <w:rPr>
          <w:rFonts w:ascii="Garamond" w:hAnsi="Garamond"/>
          <w:color w:val="auto"/>
        </w:rPr>
        <w:t xml:space="preserve"> Mycobacterium tuberculosis (TB), </w:t>
      </w:r>
      <w:r w:rsidR="005F578D" w:rsidRPr="008B6D4E">
        <w:rPr>
          <w:rFonts w:ascii="Garamond" w:hAnsi="Garamond"/>
          <w:color w:val="auto"/>
        </w:rPr>
        <w:t xml:space="preserve">Mycobacterium Chelonae, </w:t>
      </w:r>
      <w:r w:rsidRPr="008B6D4E">
        <w:rPr>
          <w:rFonts w:ascii="Garamond" w:hAnsi="Garamond"/>
          <w:color w:val="auto"/>
        </w:rPr>
        <w:t>Mycobacterium leprae (Leprosy) and Syphilis</w:t>
      </w:r>
      <w:r w:rsidR="009E5633">
        <w:rPr>
          <w:rFonts w:ascii="Garamond" w:hAnsi="Garamond"/>
          <w:color w:val="auto"/>
        </w:rPr>
        <w:t xml:space="preserve"> (Nishioka et al.,</w:t>
      </w:r>
      <w:r w:rsidR="005F578D" w:rsidRPr="008B6D4E">
        <w:rPr>
          <w:rFonts w:ascii="Garamond" w:hAnsi="Garamond"/>
          <w:color w:val="auto"/>
        </w:rPr>
        <w:t xml:space="preserve"> 2002</w:t>
      </w:r>
      <w:r w:rsidR="008B6D4E" w:rsidRPr="008B6D4E">
        <w:rPr>
          <w:rFonts w:ascii="Garamond" w:hAnsi="Garamond"/>
          <w:color w:val="auto"/>
        </w:rPr>
        <w:t xml:space="preserve">; </w:t>
      </w:r>
      <w:r w:rsidR="008B6D4E" w:rsidRPr="008B6D4E">
        <w:rPr>
          <w:rFonts w:ascii="Garamond" w:hAnsi="Garamond"/>
        </w:rPr>
        <w:t>Cuyper and Perez-Cotapos, 2010</w:t>
      </w:r>
      <w:r w:rsidR="00D44893" w:rsidRPr="008B6D4E">
        <w:rPr>
          <w:rFonts w:ascii="Garamond" w:hAnsi="Garamond"/>
        </w:rPr>
        <w:t xml:space="preserve">; </w:t>
      </w:r>
      <w:r w:rsidR="00D44893" w:rsidRPr="008B6D4E">
        <w:rPr>
          <w:rFonts w:ascii="Garamond" w:hAnsi="Garamond"/>
          <w:color w:val="auto"/>
          <w:lang w:eastAsia="en-US"/>
        </w:rPr>
        <w:t>Drage</w:t>
      </w:r>
      <w:r w:rsidR="00D44893">
        <w:rPr>
          <w:rFonts w:ascii="Garamond" w:hAnsi="Garamond"/>
          <w:color w:val="auto"/>
          <w:lang w:eastAsia="en-US"/>
        </w:rPr>
        <w:t xml:space="preserve"> </w:t>
      </w:r>
      <w:r w:rsidR="00D44893" w:rsidRPr="008B6D4E">
        <w:rPr>
          <w:rFonts w:ascii="Garamond" w:hAnsi="Garamond"/>
          <w:color w:val="auto"/>
          <w:lang w:eastAsia="en-US"/>
        </w:rPr>
        <w:t>et</w:t>
      </w:r>
      <w:r w:rsidR="008B6D4E" w:rsidRPr="008B6D4E">
        <w:rPr>
          <w:rFonts w:ascii="Garamond" w:hAnsi="Garamond"/>
          <w:color w:val="auto"/>
        </w:rPr>
        <w:t xml:space="preserve"> al., 2010).  </w:t>
      </w:r>
    </w:p>
    <w:p w:rsidR="00006F4D" w:rsidRPr="000B14DE" w:rsidRDefault="002F725B" w:rsidP="00E61BB2">
      <w:pPr>
        <w:spacing w:line="360" w:lineRule="auto"/>
        <w:jc w:val="both"/>
        <w:rPr>
          <w:rFonts w:ascii="Garamond" w:hAnsi="Garamond"/>
          <w:color w:val="auto"/>
        </w:rPr>
      </w:pPr>
      <w:r>
        <w:rPr>
          <w:rFonts w:ascii="Garamond" w:hAnsi="Garamond"/>
          <w:color w:val="auto"/>
        </w:rPr>
        <w:t>Viral infections noted include h</w:t>
      </w:r>
      <w:r w:rsidR="00006F4D" w:rsidRPr="008B6D4E">
        <w:rPr>
          <w:rFonts w:ascii="Garamond" w:hAnsi="Garamond"/>
          <w:color w:val="auto"/>
        </w:rPr>
        <w:t xml:space="preserve">epatitis A, B, C and D, </w:t>
      </w:r>
      <w:r w:rsidR="00D44893">
        <w:rPr>
          <w:rFonts w:ascii="Garamond" w:hAnsi="Garamond"/>
          <w:color w:val="auto"/>
        </w:rPr>
        <w:t xml:space="preserve">HIV and </w:t>
      </w:r>
      <w:r w:rsidR="00006F4D" w:rsidRPr="008B6D4E">
        <w:rPr>
          <w:rFonts w:ascii="Garamond" w:hAnsi="Garamond"/>
          <w:color w:val="auto"/>
        </w:rPr>
        <w:t xml:space="preserve">Herpes </w:t>
      </w:r>
      <w:r w:rsidR="00D44893" w:rsidRPr="008B6D4E">
        <w:rPr>
          <w:rFonts w:ascii="Garamond" w:hAnsi="Garamond"/>
          <w:color w:val="auto"/>
        </w:rPr>
        <w:t>simplex (</w:t>
      </w:r>
      <w:r w:rsidR="00D44893">
        <w:rPr>
          <w:rFonts w:ascii="Garamond" w:hAnsi="Garamond"/>
          <w:color w:val="auto"/>
          <w:lang w:eastAsia="en-US"/>
        </w:rPr>
        <w:t>Neal</w:t>
      </w:r>
      <w:r w:rsidR="008B6D4E" w:rsidRPr="008B6D4E">
        <w:rPr>
          <w:rFonts w:ascii="Garamond" w:hAnsi="Garamond"/>
          <w:color w:val="auto"/>
          <w:lang w:eastAsia="en-US"/>
        </w:rPr>
        <w:t xml:space="preserve"> et al</w:t>
      </w:r>
      <w:r w:rsidR="00D44893">
        <w:rPr>
          <w:rFonts w:ascii="Garamond" w:hAnsi="Garamond"/>
          <w:color w:val="auto"/>
          <w:lang w:eastAsia="en-US"/>
        </w:rPr>
        <w:t>.,</w:t>
      </w:r>
      <w:r w:rsidR="008B6D4E" w:rsidRPr="008B6D4E">
        <w:rPr>
          <w:rFonts w:ascii="Garamond" w:hAnsi="Garamond"/>
          <w:color w:val="auto"/>
          <w:lang w:eastAsia="en-US"/>
        </w:rPr>
        <w:t xml:space="preserve"> 1994;</w:t>
      </w:r>
      <w:r w:rsidR="00D44893" w:rsidRPr="00D44893">
        <w:rPr>
          <w:rFonts w:ascii="Garamond" w:hAnsi="Garamond"/>
          <w:color w:val="auto"/>
          <w:lang w:eastAsia="en-US"/>
        </w:rPr>
        <w:t xml:space="preserve"> </w:t>
      </w:r>
      <w:r w:rsidR="00D44893">
        <w:rPr>
          <w:rFonts w:ascii="Garamond" w:hAnsi="Garamond"/>
          <w:color w:val="auto"/>
          <w:lang w:val="fr-FR" w:eastAsia="en-US"/>
        </w:rPr>
        <w:t>Brillman</w:t>
      </w:r>
      <w:r w:rsidR="00D44893" w:rsidRPr="008B6D4E">
        <w:rPr>
          <w:rFonts w:ascii="Garamond" w:hAnsi="Garamond"/>
          <w:color w:val="auto"/>
          <w:lang w:val="fr-FR" w:eastAsia="en-US"/>
        </w:rPr>
        <w:t xml:space="preserve"> et al</w:t>
      </w:r>
      <w:r w:rsidR="00D44893">
        <w:rPr>
          <w:rFonts w:ascii="Garamond" w:hAnsi="Garamond"/>
          <w:color w:val="auto"/>
          <w:lang w:val="fr-FR" w:eastAsia="en-US"/>
        </w:rPr>
        <w:t>.,</w:t>
      </w:r>
      <w:r w:rsidR="00D44893" w:rsidRPr="008B6D4E">
        <w:rPr>
          <w:rFonts w:ascii="Garamond" w:hAnsi="Garamond"/>
          <w:color w:val="auto"/>
          <w:lang w:val="fr-FR" w:eastAsia="en-US"/>
        </w:rPr>
        <w:t xml:space="preserve"> 2001</w:t>
      </w:r>
      <w:r w:rsidR="00D44893">
        <w:rPr>
          <w:rFonts w:ascii="Garamond" w:hAnsi="Garamond"/>
          <w:color w:val="auto"/>
          <w:lang w:val="fr-FR" w:eastAsia="en-US"/>
        </w:rPr>
        <w:t>;</w:t>
      </w:r>
      <w:r w:rsidR="00D44893" w:rsidRPr="008B6D4E">
        <w:rPr>
          <w:rFonts w:ascii="Garamond" w:hAnsi="Garamond"/>
          <w:color w:val="auto"/>
          <w:lang w:eastAsia="en-US"/>
        </w:rPr>
        <w:t xml:space="preserve"> </w:t>
      </w:r>
      <w:r w:rsidR="00D44893">
        <w:rPr>
          <w:rFonts w:ascii="Garamond" w:hAnsi="Garamond"/>
          <w:color w:val="auto"/>
          <w:lang w:eastAsia="en-US"/>
        </w:rPr>
        <w:t xml:space="preserve">Samuel </w:t>
      </w:r>
      <w:r w:rsidR="00D44893" w:rsidRPr="008B6D4E">
        <w:rPr>
          <w:rFonts w:ascii="Garamond" w:hAnsi="Garamond"/>
          <w:color w:val="auto"/>
          <w:lang w:eastAsia="en-US"/>
        </w:rPr>
        <w:t>et al</w:t>
      </w:r>
      <w:r w:rsidR="00D44893">
        <w:rPr>
          <w:rFonts w:ascii="Garamond" w:hAnsi="Garamond"/>
          <w:color w:val="auto"/>
          <w:lang w:eastAsia="en-US"/>
        </w:rPr>
        <w:t>.,</w:t>
      </w:r>
      <w:r w:rsidR="00D44893" w:rsidRPr="008B6D4E">
        <w:rPr>
          <w:rFonts w:ascii="Garamond" w:hAnsi="Garamond"/>
          <w:color w:val="auto"/>
          <w:lang w:eastAsia="en-US"/>
        </w:rPr>
        <w:t xml:space="preserve"> 2001</w:t>
      </w:r>
      <w:r w:rsidR="00D44893">
        <w:rPr>
          <w:rFonts w:ascii="Garamond" w:hAnsi="Garamond"/>
          <w:color w:val="auto"/>
          <w:lang w:eastAsia="en-US"/>
        </w:rPr>
        <w:t>;</w:t>
      </w:r>
      <w:r w:rsidR="00D44893" w:rsidRPr="008B6D4E">
        <w:rPr>
          <w:rFonts w:ascii="Garamond" w:hAnsi="Garamond"/>
          <w:color w:val="auto"/>
          <w:lang w:val="fr-FR" w:eastAsia="en-US"/>
        </w:rPr>
        <w:t xml:space="preserve"> </w:t>
      </w:r>
      <w:r w:rsidR="00D44893">
        <w:rPr>
          <w:rFonts w:ascii="Garamond" w:hAnsi="Garamond"/>
          <w:color w:val="auto"/>
          <w:lang w:eastAsia="en-US"/>
        </w:rPr>
        <w:t>Campello</w:t>
      </w:r>
      <w:r w:rsidR="00D44893" w:rsidRPr="008B6D4E">
        <w:rPr>
          <w:rFonts w:ascii="Garamond" w:hAnsi="Garamond"/>
          <w:color w:val="auto"/>
          <w:lang w:eastAsia="en-US"/>
        </w:rPr>
        <w:t xml:space="preserve"> et al</w:t>
      </w:r>
      <w:r w:rsidR="00D44893">
        <w:rPr>
          <w:rFonts w:ascii="Garamond" w:hAnsi="Garamond"/>
          <w:color w:val="auto"/>
          <w:lang w:eastAsia="en-US"/>
        </w:rPr>
        <w:t>.,</w:t>
      </w:r>
      <w:r w:rsidR="00D44893" w:rsidRPr="008B6D4E">
        <w:rPr>
          <w:rFonts w:ascii="Garamond" w:hAnsi="Garamond"/>
          <w:color w:val="auto"/>
          <w:lang w:eastAsia="en-US"/>
        </w:rPr>
        <w:t xml:space="preserve"> 2002; </w:t>
      </w:r>
      <w:r w:rsidR="009E5633">
        <w:rPr>
          <w:rFonts w:ascii="Garamond" w:hAnsi="Garamond"/>
          <w:color w:val="auto"/>
        </w:rPr>
        <w:t>Nishioka et al.,</w:t>
      </w:r>
      <w:r w:rsidR="009E5633" w:rsidRPr="008B6D4E">
        <w:rPr>
          <w:rFonts w:ascii="Garamond" w:hAnsi="Garamond"/>
          <w:color w:val="auto"/>
        </w:rPr>
        <w:t xml:space="preserve"> 2002</w:t>
      </w:r>
      <w:r w:rsidR="00D44893">
        <w:rPr>
          <w:rFonts w:ascii="Garamond" w:hAnsi="Garamond"/>
          <w:color w:val="auto"/>
        </w:rPr>
        <w:t xml:space="preserve">; </w:t>
      </w:r>
      <w:r w:rsidR="00D44893">
        <w:rPr>
          <w:rFonts w:ascii="Garamond" w:hAnsi="Garamond"/>
          <w:color w:val="auto"/>
          <w:lang w:val="fr-FR" w:eastAsia="en-US"/>
        </w:rPr>
        <w:t>Pérez</w:t>
      </w:r>
      <w:r w:rsidR="00D44893" w:rsidRPr="008B6D4E">
        <w:rPr>
          <w:rFonts w:ascii="Garamond" w:hAnsi="Garamond"/>
          <w:color w:val="auto"/>
          <w:lang w:val="fr-FR" w:eastAsia="en-US"/>
        </w:rPr>
        <w:t xml:space="preserve"> et al</w:t>
      </w:r>
      <w:r w:rsidR="00D44893">
        <w:rPr>
          <w:rFonts w:ascii="Garamond" w:hAnsi="Garamond"/>
          <w:color w:val="auto"/>
          <w:lang w:val="fr-FR" w:eastAsia="en-US"/>
        </w:rPr>
        <w:t>.</w:t>
      </w:r>
      <w:r w:rsidR="00D44893" w:rsidRPr="008B6D4E">
        <w:rPr>
          <w:rFonts w:ascii="Garamond" w:hAnsi="Garamond"/>
          <w:color w:val="auto"/>
          <w:lang w:val="fr-FR" w:eastAsia="en-US"/>
        </w:rPr>
        <w:t>, 2005</w:t>
      </w:r>
      <w:r w:rsidR="00D44893">
        <w:rPr>
          <w:rFonts w:ascii="Garamond" w:hAnsi="Garamond"/>
          <w:color w:val="auto"/>
          <w:lang w:val="fr-FR" w:eastAsia="en-US"/>
        </w:rPr>
        <w:t>;</w:t>
      </w:r>
      <w:r w:rsidR="00D44893" w:rsidRPr="00D44893">
        <w:rPr>
          <w:rFonts w:ascii="Garamond" w:hAnsi="Garamond"/>
          <w:color w:val="auto"/>
          <w:lang w:eastAsia="en-US"/>
        </w:rPr>
        <w:t xml:space="preserve"> </w:t>
      </w:r>
      <w:r w:rsidR="00D44893">
        <w:rPr>
          <w:rFonts w:ascii="Garamond" w:hAnsi="Garamond"/>
          <w:color w:val="auto"/>
          <w:lang w:eastAsia="en-US"/>
        </w:rPr>
        <w:t>O’Brien</w:t>
      </w:r>
      <w:r w:rsidR="00D44893" w:rsidRPr="008B6D4E">
        <w:rPr>
          <w:rFonts w:ascii="Garamond" w:hAnsi="Garamond"/>
          <w:color w:val="auto"/>
          <w:lang w:eastAsia="en-US"/>
        </w:rPr>
        <w:t xml:space="preserve"> et al</w:t>
      </w:r>
      <w:r w:rsidR="00D44893">
        <w:rPr>
          <w:rFonts w:ascii="Garamond" w:hAnsi="Garamond"/>
          <w:color w:val="auto"/>
          <w:lang w:eastAsia="en-US"/>
        </w:rPr>
        <w:t>.,</w:t>
      </w:r>
      <w:r w:rsidR="00D44893" w:rsidRPr="008B6D4E">
        <w:rPr>
          <w:rFonts w:ascii="Garamond" w:hAnsi="Garamond"/>
          <w:color w:val="auto"/>
          <w:lang w:eastAsia="en-US"/>
        </w:rPr>
        <w:t xml:space="preserve"> 2008</w:t>
      </w:r>
      <w:r w:rsidR="00D44893">
        <w:rPr>
          <w:rFonts w:ascii="Garamond" w:hAnsi="Garamond"/>
          <w:color w:val="auto"/>
          <w:lang w:eastAsia="en-US"/>
        </w:rPr>
        <w:t>;</w:t>
      </w:r>
      <w:r w:rsidR="00D44893" w:rsidRPr="008B6D4E">
        <w:rPr>
          <w:rFonts w:ascii="Garamond" w:hAnsi="Garamond"/>
        </w:rPr>
        <w:t xml:space="preserve"> </w:t>
      </w:r>
      <w:r w:rsidR="00D44893">
        <w:rPr>
          <w:rFonts w:ascii="Garamond" w:hAnsi="Garamond"/>
          <w:color w:val="auto"/>
          <w:lang w:val="fr-FR" w:eastAsia="en-US"/>
        </w:rPr>
        <w:t>Bruneau</w:t>
      </w:r>
      <w:r w:rsidR="008B6D4E" w:rsidRPr="008B6D4E">
        <w:rPr>
          <w:rFonts w:ascii="Garamond" w:hAnsi="Garamond"/>
          <w:color w:val="auto"/>
          <w:lang w:eastAsia="en-US"/>
        </w:rPr>
        <w:t xml:space="preserve"> et al</w:t>
      </w:r>
      <w:r w:rsidR="00D44893">
        <w:rPr>
          <w:rFonts w:ascii="Garamond" w:hAnsi="Garamond"/>
          <w:color w:val="auto"/>
          <w:lang w:eastAsia="en-US"/>
        </w:rPr>
        <w:t>.,</w:t>
      </w:r>
      <w:r w:rsidR="008B6D4E" w:rsidRPr="008B6D4E">
        <w:rPr>
          <w:rFonts w:ascii="Garamond" w:hAnsi="Garamond"/>
          <w:color w:val="auto"/>
          <w:lang w:eastAsia="en-US"/>
        </w:rPr>
        <w:t xml:space="preserve"> 2010; </w:t>
      </w:r>
      <w:r w:rsidR="008B6D4E" w:rsidRPr="008B6D4E">
        <w:rPr>
          <w:rFonts w:ascii="Garamond" w:hAnsi="Garamond"/>
        </w:rPr>
        <w:t>Cuyper and Perez-Cotapos, 2010;</w:t>
      </w:r>
      <w:r w:rsidR="008B6D4E" w:rsidRPr="008B6D4E">
        <w:rPr>
          <w:rFonts w:ascii="Garamond" w:hAnsi="Garamond"/>
          <w:color w:val="auto"/>
          <w:lang w:eastAsia="en-US"/>
        </w:rPr>
        <w:t xml:space="preserve"> </w:t>
      </w:r>
      <w:r w:rsidR="00D44893">
        <w:rPr>
          <w:rFonts w:ascii="Garamond" w:hAnsi="Garamond"/>
          <w:color w:val="auto"/>
          <w:lang w:eastAsia="en-US"/>
        </w:rPr>
        <w:t>Jafari</w:t>
      </w:r>
      <w:r w:rsidR="008B6D4E" w:rsidRPr="008B6D4E">
        <w:rPr>
          <w:rFonts w:ascii="Garamond" w:hAnsi="Garamond"/>
          <w:color w:val="auto"/>
          <w:lang w:eastAsia="en-US"/>
        </w:rPr>
        <w:t xml:space="preserve"> et al</w:t>
      </w:r>
      <w:r w:rsidR="00D44893">
        <w:rPr>
          <w:rFonts w:ascii="Garamond" w:hAnsi="Garamond"/>
          <w:color w:val="auto"/>
          <w:lang w:eastAsia="en-US"/>
        </w:rPr>
        <w:t>.,</w:t>
      </w:r>
      <w:r w:rsidR="008B6D4E" w:rsidRPr="008B6D4E">
        <w:rPr>
          <w:rFonts w:ascii="Garamond" w:hAnsi="Garamond"/>
          <w:color w:val="auto"/>
          <w:lang w:eastAsia="en-US"/>
        </w:rPr>
        <w:t xml:space="preserve"> 2010; </w:t>
      </w:r>
      <w:r w:rsidR="00D44893">
        <w:rPr>
          <w:rFonts w:ascii="Garamond" w:hAnsi="Garamond"/>
          <w:color w:val="auto"/>
          <w:lang w:eastAsia="en-US"/>
        </w:rPr>
        <w:t>Rania and Scott, 2012</w:t>
      </w:r>
      <w:r w:rsidR="00AC1709">
        <w:rPr>
          <w:rFonts w:ascii="Garamond" w:hAnsi="Garamond"/>
          <w:color w:val="auto"/>
        </w:rPr>
        <w:t>;</w:t>
      </w:r>
      <w:r w:rsidR="00AC1709" w:rsidRPr="00AC1709">
        <w:rPr>
          <w:rFonts w:ascii="Garamond" w:hAnsi="Garamond"/>
          <w:color w:val="auto"/>
        </w:rPr>
        <w:t xml:space="preserve"> </w:t>
      </w:r>
      <w:r w:rsidR="00AC1709" w:rsidRPr="000B14DE">
        <w:rPr>
          <w:rFonts w:ascii="Garamond" w:hAnsi="Garamond"/>
          <w:color w:val="auto"/>
        </w:rPr>
        <w:t>Tohme and Holmberg</w:t>
      </w:r>
      <w:r w:rsidR="00AC1709">
        <w:rPr>
          <w:rFonts w:ascii="Garamond" w:hAnsi="Garamond"/>
          <w:color w:val="auto"/>
        </w:rPr>
        <w:t>,</w:t>
      </w:r>
      <w:r w:rsidR="00AC1709" w:rsidRPr="000B14DE">
        <w:rPr>
          <w:rFonts w:ascii="Garamond" w:hAnsi="Garamond"/>
          <w:color w:val="auto"/>
        </w:rPr>
        <w:t xml:space="preserve"> 2012)</w:t>
      </w:r>
      <w:r w:rsidR="00006F4D" w:rsidRPr="008B6D4E">
        <w:rPr>
          <w:rFonts w:ascii="Garamond" w:hAnsi="Garamond"/>
          <w:color w:val="auto"/>
        </w:rPr>
        <w:t xml:space="preserve">. Less common were association with some systematic fungal infections like </w:t>
      </w:r>
      <w:r w:rsidR="00E36473" w:rsidRPr="008B6D4E">
        <w:rPr>
          <w:rFonts w:ascii="Garamond" w:hAnsi="Garamond"/>
          <w:color w:val="auto"/>
        </w:rPr>
        <w:t>candidiasis (</w:t>
      </w:r>
      <w:r w:rsidR="008B6D4E" w:rsidRPr="008B6D4E">
        <w:rPr>
          <w:rFonts w:ascii="Garamond" w:hAnsi="Garamond"/>
        </w:rPr>
        <w:t>Cuyper and Perez-Cotapos, 2010</w:t>
      </w:r>
      <w:r w:rsidR="007B24BA" w:rsidRPr="008B6D4E">
        <w:rPr>
          <w:rFonts w:ascii="Garamond" w:hAnsi="Garamond"/>
          <w:color w:val="auto"/>
        </w:rPr>
        <w:t>)</w:t>
      </w:r>
      <w:r w:rsidR="00006F4D" w:rsidRPr="008B6D4E">
        <w:rPr>
          <w:rFonts w:ascii="Garamond" w:hAnsi="Garamond"/>
          <w:color w:val="auto"/>
        </w:rPr>
        <w:t>.</w:t>
      </w:r>
    </w:p>
    <w:p w:rsidR="00006F4D" w:rsidRPr="000B14DE" w:rsidRDefault="00006F4D" w:rsidP="007D20B7">
      <w:pPr>
        <w:pStyle w:val="Heading3"/>
        <w:spacing w:line="360" w:lineRule="auto"/>
        <w:rPr>
          <w:rFonts w:ascii="Garamond" w:hAnsi="Garamond"/>
          <w:i/>
          <w:color w:val="auto"/>
        </w:rPr>
      </w:pPr>
      <w:bookmarkStart w:id="20" w:name="_Toc325554590"/>
      <w:r w:rsidRPr="000B14DE">
        <w:rPr>
          <w:rFonts w:ascii="Garamond" w:hAnsi="Garamond"/>
        </w:rPr>
        <w:t>Others</w:t>
      </w:r>
      <w:bookmarkEnd w:id="20"/>
    </w:p>
    <w:p w:rsidR="00D44893" w:rsidRDefault="00006F4D" w:rsidP="00E61BB2">
      <w:pPr>
        <w:spacing w:line="360" w:lineRule="auto"/>
        <w:jc w:val="both"/>
        <w:rPr>
          <w:rFonts w:ascii="Garamond" w:hAnsi="Garamond"/>
          <w:color w:val="auto"/>
        </w:rPr>
      </w:pPr>
      <w:r w:rsidRPr="000B14DE">
        <w:rPr>
          <w:rFonts w:ascii="Garamond" w:hAnsi="Garamond"/>
          <w:color w:val="auto"/>
        </w:rPr>
        <w:t>Psoriasis, lichen planus, sarcoidosis and keloids have been observed as concomitant disease triggered by tattooing</w:t>
      </w:r>
      <w:r w:rsidR="00D44893">
        <w:rPr>
          <w:rFonts w:ascii="Garamond" w:hAnsi="Garamond"/>
          <w:color w:val="auto"/>
        </w:rPr>
        <w:t xml:space="preserve"> (</w:t>
      </w:r>
      <w:r w:rsidR="00D44893">
        <w:rPr>
          <w:rFonts w:ascii="Garamond" w:hAnsi="Garamond"/>
          <w:color w:val="auto"/>
          <w:lang w:val="fr-FR"/>
        </w:rPr>
        <w:t>Mayers</w:t>
      </w:r>
      <w:r w:rsidR="00D44893" w:rsidRPr="00D44893">
        <w:rPr>
          <w:rFonts w:ascii="Garamond" w:hAnsi="Garamond"/>
          <w:color w:val="auto"/>
          <w:lang w:val="fr-FR"/>
        </w:rPr>
        <w:t xml:space="preserve"> et al</w:t>
      </w:r>
      <w:r w:rsidR="00D44893">
        <w:rPr>
          <w:rFonts w:ascii="Garamond" w:hAnsi="Garamond"/>
          <w:color w:val="auto"/>
          <w:lang w:val="fr-FR"/>
        </w:rPr>
        <w:t>.,</w:t>
      </w:r>
      <w:r w:rsidR="00D44893" w:rsidRPr="00D44893">
        <w:rPr>
          <w:rFonts w:ascii="Garamond" w:hAnsi="Garamond"/>
          <w:color w:val="auto"/>
          <w:lang w:val="fr-FR"/>
        </w:rPr>
        <w:t xml:space="preserve"> </w:t>
      </w:r>
      <w:r w:rsidR="00E36473" w:rsidRPr="00D44893">
        <w:rPr>
          <w:rFonts w:ascii="Garamond" w:hAnsi="Garamond"/>
          <w:color w:val="auto"/>
          <w:lang w:val="fr-FR"/>
        </w:rPr>
        <w:t>2002</w:t>
      </w:r>
      <w:r w:rsidR="00E36473">
        <w:rPr>
          <w:rFonts w:ascii="Garamond" w:hAnsi="Garamond"/>
          <w:color w:val="auto"/>
          <w:lang w:val="fr-FR"/>
        </w:rPr>
        <w:t>;</w:t>
      </w:r>
      <w:r w:rsidR="00D44893">
        <w:rPr>
          <w:rFonts w:ascii="Garamond" w:hAnsi="Garamond"/>
          <w:color w:val="auto"/>
          <w:lang w:val="fr-FR"/>
        </w:rPr>
        <w:t xml:space="preserve"> </w:t>
      </w:r>
      <w:r w:rsidR="00D44893" w:rsidRPr="000A7ED8">
        <w:rPr>
          <w:rFonts w:ascii="Garamond" w:hAnsi="Garamond"/>
          <w:color w:val="auto"/>
        </w:rPr>
        <w:t xml:space="preserve">Papameletiou </w:t>
      </w:r>
      <w:r w:rsidR="00D44893">
        <w:rPr>
          <w:rFonts w:ascii="Garamond" w:hAnsi="Garamond"/>
        </w:rPr>
        <w:t xml:space="preserve">et al., </w:t>
      </w:r>
      <w:r w:rsidR="00D44893">
        <w:rPr>
          <w:rFonts w:ascii="Garamond" w:hAnsi="Garamond"/>
          <w:color w:val="auto"/>
        </w:rPr>
        <w:t xml:space="preserve">2003; </w:t>
      </w:r>
      <w:r w:rsidR="00DC45DB" w:rsidRPr="008B6D4E">
        <w:rPr>
          <w:rFonts w:ascii="Garamond" w:hAnsi="Garamond"/>
        </w:rPr>
        <w:t>Cuyper and Perez-Cotapos, 2010</w:t>
      </w:r>
      <w:r w:rsidR="00DC45DB">
        <w:rPr>
          <w:rFonts w:ascii="Garamond" w:hAnsi="Garamond"/>
        </w:rPr>
        <w:t xml:space="preserve">; </w:t>
      </w:r>
      <w:r w:rsidR="00DC45DB">
        <w:rPr>
          <w:rFonts w:ascii="Garamond" w:hAnsi="Garamond"/>
          <w:lang w:val="it-IT"/>
        </w:rPr>
        <w:t>Sidoti</w:t>
      </w:r>
      <w:r w:rsidR="00D44893" w:rsidRPr="00110BF0">
        <w:rPr>
          <w:rFonts w:ascii="Garamond" w:hAnsi="Garamond"/>
        </w:rPr>
        <w:t xml:space="preserve"> </w:t>
      </w:r>
      <w:r w:rsidR="00D44893">
        <w:rPr>
          <w:rFonts w:ascii="Garamond" w:hAnsi="Garamond"/>
        </w:rPr>
        <w:t>et al</w:t>
      </w:r>
      <w:r w:rsidR="00DC45DB">
        <w:rPr>
          <w:rFonts w:ascii="Garamond" w:hAnsi="Garamond"/>
        </w:rPr>
        <w:t>.,</w:t>
      </w:r>
      <w:r w:rsidR="00D44893">
        <w:rPr>
          <w:rFonts w:ascii="Garamond" w:hAnsi="Garamond"/>
        </w:rPr>
        <w:t xml:space="preserve"> 2010)</w:t>
      </w:r>
      <w:r w:rsidRPr="00D44893">
        <w:rPr>
          <w:rFonts w:ascii="Garamond" w:hAnsi="Garamond"/>
          <w:color w:val="auto"/>
        </w:rPr>
        <w:t>.</w:t>
      </w:r>
    </w:p>
    <w:p w:rsidR="00006F4D" w:rsidRPr="00DC45DB" w:rsidRDefault="00D44893" w:rsidP="00E61BB2">
      <w:pPr>
        <w:spacing w:line="360" w:lineRule="auto"/>
        <w:jc w:val="both"/>
        <w:rPr>
          <w:rFonts w:ascii="Garamond" w:hAnsi="Garamond"/>
          <w:color w:val="auto"/>
        </w:rPr>
      </w:pPr>
      <w:r>
        <w:rPr>
          <w:rFonts w:ascii="Garamond" w:hAnsi="Garamond"/>
          <w:color w:val="auto"/>
        </w:rPr>
        <w:t>T</w:t>
      </w:r>
      <w:r w:rsidRPr="000B14DE">
        <w:rPr>
          <w:rFonts w:ascii="Garamond" w:hAnsi="Garamond"/>
          <w:color w:val="auto"/>
        </w:rPr>
        <w:t xml:space="preserve">he </w:t>
      </w:r>
      <w:r>
        <w:rPr>
          <w:rFonts w:ascii="Garamond" w:hAnsi="Garamond"/>
          <w:color w:val="auto"/>
        </w:rPr>
        <w:t xml:space="preserve">context and study designs for the </w:t>
      </w:r>
      <w:r w:rsidR="00E6211E">
        <w:rPr>
          <w:rFonts w:ascii="Garamond" w:hAnsi="Garamond"/>
          <w:color w:val="auto"/>
        </w:rPr>
        <w:t xml:space="preserve">evidence on </w:t>
      </w:r>
      <w:r>
        <w:rPr>
          <w:rFonts w:ascii="Garamond" w:hAnsi="Garamond"/>
          <w:color w:val="auto"/>
        </w:rPr>
        <w:t>complications reported varied from cas</w:t>
      </w:r>
      <w:r w:rsidR="00DC45DB">
        <w:rPr>
          <w:rFonts w:ascii="Garamond" w:hAnsi="Garamond"/>
          <w:color w:val="auto"/>
        </w:rPr>
        <w:t xml:space="preserve">e reports, </w:t>
      </w:r>
      <w:r w:rsidR="00E6211E">
        <w:rPr>
          <w:rFonts w:ascii="Garamond" w:hAnsi="Garamond"/>
          <w:color w:val="auto"/>
        </w:rPr>
        <w:t xml:space="preserve">case </w:t>
      </w:r>
      <w:r w:rsidR="00DC45DB">
        <w:rPr>
          <w:rFonts w:ascii="Garamond" w:hAnsi="Garamond"/>
          <w:color w:val="auto"/>
        </w:rPr>
        <w:t xml:space="preserve">reviews to systematic review; hence the level and grade of evidence will vary. </w:t>
      </w:r>
      <w:r w:rsidRPr="000B14DE">
        <w:rPr>
          <w:rFonts w:ascii="Garamond" w:hAnsi="Garamond"/>
          <w:color w:val="auto"/>
        </w:rPr>
        <w:t>However, the f</w:t>
      </w:r>
      <w:r w:rsidR="00DC45DB">
        <w:rPr>
          <w:rFonts w:ascii="Garamond" w:hAnsi="Garamond"/>
          <w:color w:val="auto"/>
        </w:rPr>
        <w:t xml:space="preserve">indings </w:t>
      </w:r>
      <w:r w:rsidR="00BF5367">
        <w:rPr>
          <w:rFonts w:ascii="Garamond" w:hAnsi="Garamond"/>
          <w:color w:val="auto"/>
        </w:rPr>
        <w:t xml:space="preserve">of this literature review </w:t>
      </w:r>
      <w:r w:rsidR="00DC45DB">
        <w:rPr>
          <w:rFonts w:ascii="Garamond" w:hAnsi="Garamond"/>
          <w:color w:val="auto"/>
        </w:rPr>
        <w:t xml:space="preserve">indicate some of the complications associated with tattooing. The implication are discussed in section 6.7, 6.8 and 10 below, also see </w:t>
      </w:r>
      <w:r w:rsidR="00EB60E8" w:rsidRPr="000B14DE">
        <w:rPr>
          <w:rFonts w:ascii="Garamond" w:hAnsi="Garamond"/>
          <w:color w:val="auto"/>
        </w:rPr>
        <w:t>Table 2</w:t>
      </w:r>
      <w:r w:rsidR="00DC45DB">
        <w:rPr>
          <w:rFonts w:ascii="Garamond" w:hAnsi="Garamond"/>
          <w:color w:val="auto"/>
        </w:rPr>
        <w:t xml:space="preserve"> </w:t>
      </w:r>
      <w:r w:rsidR="00006F4D" w:rsidRPr="000B14DE">
        <w:rPr>
          <w:rFonts w:ascii="Garamond" w:hAnsi="Garamond"/>
          <w:color w:val="auto"/>
        </w:rPr>
        <w:t>for a summary of literature on complications</w:t>
      </w:r>
    </w:p>
    <w:p w:rsidR="00006F4D" w:rsidRPr="000B14DE" w:rsidRDefault="00006F4D" w:rsidP="007D20B7">
      <w:pPr>
        <w:pStyle w:val="Heading2"/>
        <w:spacing w:line="360" w:lineRule="auto"/>
        <w:rPr>
          <w:rFonts w:ascii="Garamond" w:hAnsi="Garamond"/>
        </w:rPr>
      </w:pPr>
      <w:bookmarkStart w:id="21" w:name="_Toc325554591"/>
      <w:r w:rsidRPr="000B14DE">
        <w:rPr>
          <w:rFonts w:ascii="Garamond" w:hAnsi="Garamond"/>
        </w:rPr>
        <w:t>Frequency of complications</w:t>
      </w:r>
      <w:bookmarkEnd w:id="21"/>
    </w:p>
    <w:p w:rsidR="00006F4D" w:rsidRPr="00925240" w:rsidRDefault="00006F4D" w:rsidP="00E61BB2">
      <w:pPr>
        <w:spacing w:line="360" w:lineRule="auto"/>
        <w:jc w:val="both"/>
        <w:rPr>
          <w:rFonts w:ascii="Garamond" w:hAnsi="Garamond"/>
          <w:color w:val="auto"/>
        </w:rPr>
      </w:pPr>
      <w:r w:rsidRPr="000B14DE">
        <w:rPr>
          <w:rFonts w:ascii="Garamond" w:hAnsi="Garamond"/>
          <w:color w:val="auto"/>
        </w:rPr>
        <w:t xml:space="preserve">Three articles collected data on frequency of </w:t>
      </w:r>
      <w:r w:rsidR="00AC1709">
        <w:rPr>
          <w:rFonts w:ascii="Garamond" w:hAnsi="Garamond"/>
          <w:color w:val="auto"/>
        </w:rPr>
        <w:t>complications (</w:t>
      </w:r>
      <w:r w:rsidR="00AC1709">
        <w:rPr>
          <w:rFonts w:ascii="Garamond" w:hAnsi="Garamond"/>
        </w:rPr>
        <w:t>Armstrong and Murphy,</w:t>
      </w:r>
      <w:r w:rsidR="00AC1709" w:rsidRPr="00110BF0">
        <w:rPr>
          <w:rFonts w:ascii="Garamond" w:hAnsi="Garamond"/>
        </w:rPr>
        <w:t xml:space="preserve"> </w:t>
      </w:r>
      <w:r w:rsidR="00AC1709">
        <w:rPr>
          <w:rFonts w:ascii="Garamond" w:hAnsi="Garamond"/>
        </w:rPr>
        <w:t>1997;</w:t>
      </w:r>
      <w:r w:rsidR="00AC1709" w:rsidRPr="000419E3">
        <w:t xml:space="preserve"> </w:t>
      </w:r>
      <w:r w:rsidR="00AC1709" w:rsidRPr="003D584D">
        <w:rPr>
          <w:rFonts w:ascii="Garamond" w:hAnsi="Garamond"/>
        </w:rPr>
        <w:t xml:space="preserve">Armstrong </w:t>
      </w:r>
      <w:r w:rsidR="00AC1709">
        <w:rPr>
          <w:rFonts w:ascii="Garamond" w:hAnsi="Garamond"/>
        </w:rPr>
        <w:t>et al</w:t>
      </w:r>
      <w:r w:rsidR="00AC1709" w:rsidRPr="003D584D">
        <w:rPr>
          <w:rFonts w:ascii="Garamond" w:hAnsi="Garamond"/>
        </w:rPr>
        <w:t>.</w:t>
      </w:r>
      <w:r w:rsidR="00AC1709">
        <w:rPr>
          <w:rFonts w:ascii="Garamond" w:hAnsi="Garamond"/>
        </w:rPr>
        <w:t>,</w:t>
      </w:r>
      <w:r w:rsidR="00AC1709" w:rsidRPr="00110BF0">
        <w:rPr>
          <w:rFonts w:ascii="Garamond" w:hAnsi="Garamond"/>
        </w:rPr>
        <w:t xml:space="preserve"> </w:t>
      </w:r>
      <w:r w:rsidR="00AC1709">
        <w:rPr>
          <w:rFonts w:ascii="Garamond" w:hAnsi="Garamond"/>
        </w:rPr>
        <w:t>2000;</w:t>
      </w:r>
      <w:r w:rsidRPr="000B14DE">
        <w:rPr>
          <w:rFonts w:ascii="Garamond" w:hAnsi="Garamond"/>
          <w:color w:val="auto"/>
        </w:rPr>
        <w:t xml:space="preserve"> </w:t>
      </w:r>
      <w:r w:rsidR="00AC1709" w:rsidRPr="003D584D">
        <w:rPr>
          <w:rFonts w:ascii="Garamond" w:hAnsi="Garamond"/>
        </w:rPr>
        <w:t xml:space="preserve">Deschesnes </w:t>
      </w:r>
      <w:r w:rsidR="00AC1709">
        <w:rPr>
          <w:rFonts w:ascii="Garamond" w:hAnsi="Garamond"/>
        </w:rPr>
        <w:t xml:space="preserve">et al., 2006). </w:t>
      </w:r>
      <w:r w:rsidR="00AC1709" w:rsidRPr="000B14DE">
        <w:rPr>
          <w:rFonts w:ascii="Garamond" w:hAnsi="Garamond"/>
          <w:color w:val="auto"/>
        </w:rPr>
        <w:t>None</w:t>
      </w:r>
      <w:r w:rsidRPr="000B14DE">
        <w:rPr>
          <w:rFonts w:ascii="Garamond" w:hAnsi="Garamond"/>
          <w:color w:val="auto"/>
        </w:rPr>
        <w:t xml:space="preserve"> of </w:t>
      </w:r>
      <w:r w:rsidR="002F725B">
        <w:rPr>
          <w:rFonts w:ascii="Garamond" w:hAnsi="Garamond"/>
          <w:color w:val="auto"/>
        </w:rPr>
        <w:t>which</w:t>
      </w:r>
      <w:r w:rsidRPr="000B14DE">
        <w:rPr>
          <w:rFonts w:ascii="Garamond" w:hAnsi="Garamond"/>
          <w:color w:val="auto"/>
        </w:rPr>
        <w:t xml:space="preserve"> could </w:t>
      </w:r>
      <w:r w:rsidR="00DC45DB">
        <w:rPr>
          <w:rFonts w:ascii="Garamond" w:hAnsi="Garamond"/>
          <w:color w:val="auto"/>
        </w:rPr>
        <w:t xml:space="preserve">adequately </w:t>
      </w:r>
      <w:r w:rsidRPr="000B14DE">
        <w:rPr>
          <w:rFonts w:ascii="Garamond" w:hAnsi="Garamond"/>
          <w:color w:val="auto"/>
        </w:rPr>
        <w:t xml:space="preserve">capture </w:t>
      </w:r>
      <w:r w:rsidR="00AC1709">
        <w:rPr>
          <w:rFonts w:ascii="Garamond" w:hAnsi="Garamond"/>
          <w:color w:val="auto"/>
        </w:rPr>
        <w:t xml:space="preserve">frequency of </w:t>
      </w:r>
      <w:r w:rsidRPr="000B14DE">
        <w:rPr>
          <w:rFonts w:ascii="Garamond" w:hAnsi="Garamond"/>
          <w:color w:val="auto"/>
        </w:rPr>
        <w:t>blood borne virus</w:t>
      </w:r>
      <w:r w:rsidR="00AC1709">
        <w:rPr>
          <w:rFonts w:ascii="Garamond" w:hAnsi="Garamond"/>
          <w:color w:val="auto"/>
        </w:rPr>
        <w:t xml:space="preserve"> infection</w:t>
      </w:r>
      <w:r w:rsidR="00DC45DB">
        <w:rPr>
          <w:rFonts w:ascii="Garamond" w:hAnsi="Garamond"/>
          <w:color w:val="auto"/>
        </w:rPr>
        <w:t xml:space="preserve"> because of the stu</w:t>
      </w:r>
      <w:r w:rsidR="00AC1709">
        <w:rPr>
          <w:rFonts w:ascii="Garamond" w:hAnsi="Garamond"/>
          <w:color w:val="auto"/>
        </w:rPr>
        <w:t>dy design. The study design was</w:t>
      </w:r>
      <w:r w:rsidR="00DC45DB">
        <w:rPr>
          <w:rFonts w:ascii="Garamond" w:hAnsi="Garamond"/>
          <w:color w:val="auto"/>
        </w:rPr>
        <w:t xml:space="preserve"> cross sectional </w:t>
      </w:r>
      <w:r w:rsidR="00AC1709">
        <w:rPr>
          <w:rFonts w:ascii="Garamond" w:hAnsi="Garamond"/>
          <w:color w:val="auto"/>
        </w:rPr>
        <w:t>study that</w:t>
      </w:r>
      <w:r w:rsidR="00DC45DB">
        <w:rPr>
          <w:rFonts w:ascii="Garamond" w:hAnsi="Garamond"/>
          <w:color w:val="auto"/>
        </w:rPr>
        <w:t xml:space="preserve"> relied only on questionnaires </w:t>
      </w:r>
      <w:r w:rsidR="00AC1709">
        <w:rPr>
          <w:rFonts w:ascii="Garamond" w:hAnsi="Garamond"/>
          <w:color w:val="auto"/>
        </w:rPr>
        <w:t>which were</w:t>
      </w:r>
      <w:r w:rsidR="00DC45DB">
        <w:rPr>
          <w:rFonts w:ascii="Garamond" w:hAnsi="Garamond"/>
          <w:color w:val="auto"/>
        </w:rPr>
        <w:t xml:space="preserve"> specific to symptoms reported, some people could be asymptomatic following infection with blood borne virus</w:t>
      </w:r>
      <w:r w:rsidRPr="000B14DE">
        <w:rPr>
          <w:rFonts w:ascii="Garamond" w:hAnsi="Garamond"/>
          <w:color w:val="auto"/>
        </w:rPr>
        <w:t xml:space="preserve">. The adverse effects commonly reported were short term irritations like small to large amounts of bleeding, redness, dryness and tender </w:t>
      </w:r>
      <w:r w:rsidR="00E36473" w:rsidRPr="000B14DE">
        <w:rPr>
          <w:rFonts w:ascii="Garamond" w:hAnsi="Garamond"/>
          <w:color w:val="auto"/>
        </w:rPr>
        <w:t>ski</w:t>
      </w:r>
      <w:r w:rsidR="00E36473">
        <w:rPr>
          <w:rFonts w:ascii="Garamond" w:hAnsi="Garamond"/>
          <w:color w:val="auto"/>
        </w:rPr>
        <w:t>n.</w:t>
      </w:r>
      <w:r w:rsidR="00E36473" w:rsidRPr="000B14DE">
        <w:rPr>
          <w:rFonts w:ascii="Garamond" w:hAnsi="Garamond"/>
          <w:color w:val="auto"/>
        </w:rPr>
        <w:t xml:space="preserve"> See</w:t>
      </w:r>
      <w:r w:rsidRPr="000B14DE">
        <w:rPr>
          <w:rFonts w:ascii="Garamond" w:hAnsi="Garamond"/>
          <w:color w:val="auto"/>
        </w:rPr>
        <w:t xml:space="preserve"> </w:t>
      </w:r>
      <w:r w:rsidR="00EB60E8" w:rsidRPr="000B14DE">
        <w:rPr>
          <w:rFonts w:ascii="Garamond" w:hAnsi="Garamond"/>
          <w:color w:val="auto"/>
        </w:rPr>
        <w:t>Table 2</w:t>
      </w:r>
      <w:r w:rsidRPr="000B14DE">
        <w:rPr>
          <w:rFonts w:ascii="Garamond" w:hAnsi="Garamond"/>
          <w:color w:val="auto"/>
        </w:rPr>
        <w:t xml:space="preserve"> for a summary of literature on frequency of complications.</w:t>
      </w:r>
    </w:p>
    <w:p w:rsidR="00006F4D" w:rsidRPr="000B14DE" w:rsidRDefault="00006F4D" w:rsidP="007D20B7">
      <w:pPr>
        <w:pStyle w:val="Heading2"/>
        <w:spacing w:line="360" w:lineRule="auto"/>
        <w:rPr>
          <w:rFonts w:ascii="Garamond" w:hAnsi="Garamond"/>
        </w:rPr>
      </w:pPr>
      <w:bookmarkStart w:id="22" w:name="_Toc325554592"/>
      <w:r w:rsidRPr="000B14DE">
        <w:rPr>
          <w:rFonts w:ascii="Garamond" w:hAnsi="Garamond"/>
        </w:rPr>
        <w:t>Blood Borne Viruses and Tattooing</w:t>
      </w:r>
      <w:bookmarkEnd w:id="22"/>
    </w:p>
    <w:p w:rsidR="00006F4D" w:rsidRPr="000B14DE" w:rsidRDefault="002F725B" w:rsidP="00E61BB2">
      <w:pPr>
        <w:spacing w:line="360" w:lineRule="auto"/>
        <w:jc w:val="both"/>
        <w:rPr>
          <w:rFonts w:ascii="Garamond" w:hAnsi="Garamond"/>
          <w:color w:val="auto"/>
        </w:rPr>
      </w:pPr>
      <w:r>
        <w:rPr>
          <w:rFonts w:ascii="Garamond" w:hAnsi="Garamond"/>
          <w:color w:val="auto"/>
        </w:rPr>
        <w:t>The m</w:t>
      </w:r>
      <w:r w:rsidR="00006F4D" w:rsidRPr="000B14DE">
        <w:rPr>
          <w:rFonts w:ascii="Garamond" w:hAnsi="Garamond"/>
          <w:color w:val="auto"/>
        </w:rPr>
        <w:t xml:space="preserve">ajority of the articles identified </w:t>
      </w:r>
      <w:r w:rsidR="00AC1709">
        <w:rPr>
          <w:rFonts w:ascii="Garamond" w:hAnsi="Garamond"/>
          <w:color w:val="auto"/>
        </w:rPr>
        <w:t xml:space="preserve">that </w:t>
      </w:r>
      <w:r w:rsidR="00006F4D" w:rsidRPr="000B14DE">
        <w:rPr>
          <w:rFonts w:ascii="Garamond" w:hAnsi="Garamond"/>
          <w:color w:val="auto"/>
        </w:rPr>
        <w:t xml:space="preserve">specifically considered the risk of transmission of blood borne virus as a complication of tattooing, </w:t>
      </w:r>
      <w:r w:rsidR="00AC1709">
        <w:rPr>
          <w:rFonts w:ascii="Garamond" w:hAnsi="Garamond"/>
          <w:color w:val="auto"/>
        </w:rPr>
        <w:t>focused on</w:t>
      </w:r>
      <w:r w:rsidR="00006F4D" w:rsidRPr="000B14DE">
        <w:rPr>
          <w:rFonts w:ascii="Garamond" w:hAnsi="Garamond"/>
          <w:color w:val="auto"/>
        </w:rPr>
        <w:t xml:space="preserve"> hepatitis B and C. </w:t>
      </w:r>
      <w:r w:rsidR="00E62960">
        <w:rPr>
          <w:rFonts w:ascii="Garamond" w:hAnsi="Garamond"/>
          <w:color w:val="auto"/>
        </w:rPr>
        <w:t>Two of the evidence</w:t>
      </w:r>
      <w:r w:rsidR="00AC1709">
        <w:rPr>
          <w:rFonts w:ascii="Garamond" w:hAnsi="Garamond"/>
          <w:color w:val="auto"/>
        </w:rPr>
        <w:t xml:space="preserve"> identified </w:t>
      </w:r>
      <w:r w:rsidR="00E62960">
        <w:rPr>
          <w:rFonts w:ascii="Garamond" w:hAnsi="Garamond"/>
          <w:color w:val="auto"/>
        </w:rPr>
        <w:t>was</w:t>
      </w:r>
      <w:r w:rsidR="00AC1709">
        <w:rPr>
          <w:rFonts w:ascii="Garamond" w:hAnsi="Garamond"/>
          <w:color w:val="auto"/>
        </w:rPr>
        <w:t xml:space="preserve"> </w:t>
      </w:r>
      <w:r w:rsidR="00E62960">
        <w:rPr>
          <w:rFonts w:ascii="Garamond" w:hAnsi="Garamond"/>
          <w:color w:val="auto"/>
        </w:rPr>
        <w:t xml:space="preserve">both </w:t>
      </w:r>
      <w:r w:rsidR="00AC1709">
        <w:rPr>
          <w:rFonts w:ascii="Garamond" w:hAnsi="Garamond"/>
          <w:color w:val="auto"/>
        </w:rPr>
        <w:t>systematic review</w:t>
      </w:r>
      <w:r w:rsidR="00BF5367">
        <w:rPr>
          <w:rFonts w:ascii="Garamond" w:hAnsi="Garamond"/>
          <w:color w:val="auto"/>
        </w:rPr>
        <w:t>s</w:t>
      </w:r>
      <w:r w:rsidR="00AC1709">
        <w:rPr>
          <w:rFonts w:ascii="Garamond" w:hAnsi="Garamond"/>
          <w:color w:val="auto"/>
        </w:rPr>
        <w:t>, the highest level of evidence. The t</w:t>
      </w:r>
      <w:r w:rsidR="00006F4D" w:rsidRPr="000B14DE">
        <w:rPr>
          <w:rFonts w:ascii="Garamond" w:hAnsi="Garamond"/>
          <w:color w:val="auto"/>
        </w:rPr>
        <w:t>wo systematic reviews concluded that tattooing was associated with the transmission of hepatitis C. Systematic review</w:t>
      </w:r>
      <w:r w:rsidR="00E36473">
        <w:rPr>
          <w:rFonts w:ascii="Garamond" w:hAnsi="Garamond"/>
          <w:color w:val="auto"/>
        </w:rPr>
        <w:t xml:space="preserve"> and meta-analysis by Jafari et</w:t>
      </w:r>
      <w:r w:rsidR="00006F4D" w:rsidRPr="000B14DE">
        <w:rPr>
          <w:rFonts w:ascii="Garamond" w:hAnsi="Garamond"/>
          <w:color w:val="auto"/>
        </w:rPr>
        <w:t xml:space="preserve"> al</w:t>
      </w:r>
      <w:r w:rsidR="00E36473">
        <w:rPr>
          <w:rFonts w:ascii="Garamond" w:hAnsi="Garamond"/>
          <w:color w:val="auto"/>
        </w:rPr>
        <w:t>.</w:t>
      </w:r>
      <w:r w:rsidR="00006F4D" w:rsidRPr="000B14DE">
        <w:rPr>
          <w:rFonts w:ascii="Garamond" w:hAnsi="Garamond"/>
          <w:color w:val="auto"/>
        </w:rPr>
        <w:t xml:space="preserve"> (2010) were of good quality, however, heterogeneity of the study was high and so was publication bias observed. Tohme and Holmberg (2012) conclusions from their systematic review were consistent with those of Jafari et al</w:t>
      </w:r>
      <w:r w:rsidR="00E36473">
        <w:rPr>
          <w:rFonts w:ascii="Garamond" w:hAnsi="Garamond"/>
          <w:color w:val="auto"/>
        </w:rPr>
        <w:t>.</w:t>
      </w:r>
      <w:r w:rsidR="009429B1">
        <w:rPr>
          <w:rFonts w:ascii="Garamond" w:hAnsi="Garamond"/>
          <w:color w:val="auto"/>
        </w:rPr>
        <w:t xml:space="preserve"> (2010). A</w:t>
      </w:r>
      <w:r w:rsidR="00006F4D" w:rsidRPr="000B14DE">
        <w:rPr>
          <w:rFonts w:ascii="Garamond" w:hAnsi="Garamond"/>
          <w:color w:val="auto"/>
        </w:rPr>
        <w:t xml:space="preserve"> significant number of the studies </w:t>
      </w:r>
      <w:r w:rsidR="00222C61">
        <w:rPr>
          <w:rFonts w:ascii="Garamond" w:hAnsi="Garamond"/>
          <w:color w:val="auto"/>
        </w:rPr>
        <w:t xml:space="preserve">in the systematic reviews </w:t>
      </w:r>
      <w:r w:rsidR="00006F4D" w:rsidRPr="000B14DE">
        <w:rPr>
          <w:rFonts w:ascii="Garamond" w:hAnsi="Garamond"/>
          <w:color w:val="auto"/>
        </w:rPr>
        <w:t xml:space="preserve">could not be combined, as it appears there were huge variations in the study design, exposure indicators and outcome measure. </w:t>
      </w:r>
    </w:p>
    <w:p w:rsidR="00006F4D" w:rsidRPr="000B14DE" w:rsidRDefault="00686374" w:rsidP="00E61BB2">
      <w:pPr>
        <w:spacing w:line="360" w:lineRule="auto"/>
        <w:jc w:val="both"/>
        <w:rPr>
          <w:rFonts w:ascii="Garamond" w:hAnsi="Garamond"/>
          <w:color w:val="auto"/>
        </w:rPr>
      </w:pPr>
      <w:r>
        <w:rPr>
          <w:rFonts w:ascii="Garamond" w:hAnsi="Garamond"/>
          <w:color w:val="auto"/>
        </w:rPr>
        <w:t>Most</w:t>
      </w:r>
      <w:r w:rsidR="00006F4D" w:rsidRPr="000B14DE">
        <w:rPr>
          <w:rFonts w:ascii="Garamond" w:hAnsi="Garamond"/>
          <w:color w:val="auto"/>
        </w:rPr>
        <w:t xml:space="preserve"> </w:t>
      </w:r>
      <w:r>
        <w:rPr>
          <w:rFonts w:ascii="Garamond" w:hAnsi="Garamond"/>
          <w:color w:val="auto"/>
        </w:rPr>
        <w:t xml:space="preserve">of </w:t>
      </w:r>
      <w:r w:rsidR="00006F4D" w:rsidRPr="000B14DE">
        <w:rPr>
          <w:rFonts w:ascii="Garamond" w:hAnsi="Garamond"/>
          <w:color w:val="auto"/>
        </w:rPr>
        <w:t>studies</w:t>
      </w:r>
      <w:r>
        <w:rPr>
          <w:rFonts w:ascii="Garamond" w:hAnsi="Garamond"/>
          <w:color w:val="auto"/>
        </w:rPr>
        <w:t xml:space="preserve"> identified</w:t>
      </w:r>
      <w:r w:rsidR="00006F4D" w:rsidRPr="000B14DE">
        <w:rPr>
          <w:rFonts w:ascii="Garamond" w:hAnsi="Garamond"/>
          <w:color w:val="auto"/>
        </w:rPr>
        <w:t xml:space="preserve"> </w:t>
      </w:r>
      <w:r w:rsidR="00222C61">
        <w:rPr>
          <w:rFonts w:ascii="Garamond" w:hAnsi="Garamond"/>
          <w:color w:val="auto"/>
        </w:rPr>
        <w:t xml:space="preserve">from the literature review conducted </w:t>
      </w:r>
      <w:r w:rsidR="00006F4D" w:rsidRPr="000B14DE">
        <w:rPr>
          <w:rFonts w:ascii="Garamond" w:hAnsi="Garamond"/>
          <w:color w:val="auto"/>
        </w:rPr>
        <w:t>have asserted that tattooing is associa</w:t>
      </w:r>
      <w:r>
        <w:rPr>
          <w:rFonts w:ascii="Garamond" w:hAnsi="Garamond"/>
          <w:color w:val="auto"/>
        </w:rPr>
        <w:t>ted with blood borne virus</w:t>
      </w:r>
      <w:r w:rsidR="00006F4D" w:rsidRPr="000B14DE">
        <w:rPr>
          <w:rFonts w:ascii="Garamond" w:hAnsi="Garamond"/>
          <w:color w:val="auto"/>
        </w:rPr>
        <w:t xml:space="preserve"> while others have claimed t</w:t>
      </w:r>
      <w:r>
        <w:rPr>
          <w:rFonts w:ascii="Garamond" w:hAnsi="Garamond"/>
          <w:color w:val="auto"/>
        </w:rPr>
        <w:t>hat there is no association</w:t>
      </w:r>
      <w:r w:rsidR="00006F4D" w:rsidRPr="000B14DE">
        <w:rPr>
          <w:rFonts w:ascii="Garamond" w:hAnsi="Garamond"/>
          <w:color w:val="auto"/>
        </w:rPr>
        <w:t>. A number of these studies</w:t>
      </w:r>
      <w:r w:rsidR="00EC4D08" w:rsidRPr="00EC4D08">
        <w:rPr>
          <w:rFonts w:ascii="Garamond" w:hAnsi="Garamond"/>
          <w:color w:val="auto"/>
        </w:rPr>
        <w:t xml:space="preserve"> </w:t>
      </w:r>
      <w:r w:rsidR="00EC4D08" w:rsidRPr="000B14DE">
        <w:rPr>
          <w:rFonts w:ascii="Garamond" w:hAnsi="Garamond"/>
          <w:color w:val="auto"/>
        </w:rPr>
        <w:t>were mostly observational studies</w:t>
      </w:r>
      <w:r w:rsidR="00EC4D08">
        <w:rPr>
          <w:rFonts w:ascii="Garamond" w:hAnsi="Garamond"/>
          <w:color w:val="auto"/>
        </w:rPr>
        <w:t xml:space="preserve"> and</w:t>
      </w:r>
      <w:r w:rsidR="00006F4D" w:rsidRPr="000B14DE">
        <w:rPr>
          <w:rFonts w:ascii="Garamond" w:hAnsi="Garamond"/>
          <w:color w:val="auto"/>
        </w:rPr>
        <w:t xml:space="preserve"> </w:t>
      </w:r>
      <w:r w:rsidR="00AC1709">
        <w:rPr>
          <w:rFonts w:ascii="Garamond" w:hAnsi="Garamond"/>
          <w:color w:val="auto"/>
        </w:rPr>
        <w:t xml:space="preserve">had limitations that could affect their </w:t>
      </w:r>
      <w:r w:rsidR="00AC1709" w:rsidRPr="000B14DE">
        <w:rPr>
          <w:rFonts w:ascii="Garamond" w:hAnsi="Garamond"/>
          <w:color w:val="auto"/>
        </w:rPr>
        <w:t>internal</w:t>
      </w:r>
      <w:r w:rsidR="00006F4D" w:rsidRPr="000B14DE">
        <w:rPr>
          <w:rFonts w:ascii="Garamond" w:hAnsi="Garamond"/>
          <w:color w:val="auto"/>
        </w:rPr>
        <w:t xml:space="preserve"> and external </w:t>
      </w:r>
      <w:r w:rsidR="00CA0FA9">
        <w:rPr>
          <w:rFonts w:ascii="Garamond" w:hAnsi="Garamond"/>
          <w:color w:val="auto"/>
        </w:rPr>
        <w:t>validity. The s</w:t>
      </w:r>
      <w:r>
        <w:rPr>
          <w:rFonts w:ascii="Garamond" w:hAnsi="Garamond"/>
          <w:color w:val="auto"/>
        </w:rPr>
        <w:t>tudies th</w:t>
      </w:r>
      <w:r w:rsidR="00CA0FA9">
        <w:rPr>
          <w:rFonts w:ascii="Garamond" w:hAnsi="Garamond"/>
          <w:color w:val="auto"/>
        </w:rPr>
        <w:t xml:space="preserve">at indicated an association between tattooing and </w:t>
      </w:r>
      <w:r>
        <w:rPr>
          <w:rFonts w:ascii="Garamond" w:hAnsi="Garamond"/>
          <w:color w:val="auto"/>
        </w:rPr>
        <w:t xml:space="preserve"> blood borne viruses </w:t>
      </w:r>
      <w:r w:rsidR="00CA0FA9">
        <w:rPr>
          <w:rFonts w:ascii="Garamond" w:hAnsi="Garamond"/>
          <w:color w:val="auto"/>
        </w:rPr>
        <w:t>were predicated</w:t>
      </w:r>
      <w:r>
        <w:rPr>
          <w:rFonts w:ascii="Garamond" w:hAnsi="Garamond"/>
          <w:color w:val="auto"/>
        </w:rPr>
        <w:t xml:space="preserve"> on </w:t>
      </w:r>
      <w:r w:rsidR="0006581C">
        <w:rPr>
          <w:rFonts w:ascii="Garamond" w:hAnsi="Garamond"/>
          <w:color w:val="auto"/>
        </w:rPr>
        <w:t>the practice of tattoo</w:t>
      </w:r>
      <w:r>
        <w:rPr>
          <w:rFonts w:ascii="Garamond" w:hAnsi="Garamond"/>
          <w:color w:val="auto"/>
        </w:rPr>
        <w:t xml:space="preserve"> under unhygienic conditions.  </w:t>
      </w:r>
      <w:r w:rsidR="00EC4D08" w:rsidRPr="000B14DE">
        <w:rPr>
          <w:rFonts w:ascii="Garamond" w:hAnsi="Garamond"/>
          <w:color w:val="auto"/>
        </w:rPr>
        <w:t>See Table 2 for a summary of literature on tattooing and blood borne virus.</w:t>
      </w:r>
    </w:p>
    <w:p w:rsidR="00EB60E8" w:rsidRPr="007D20B7" w:rsidRDefault="00006F4D" w:rsidP="00E61BB2">
      <w:pPr>
        <w:spacing w:line="360" w:lineRule="auto"/>
        <w:jc w:val="both"/>
        <w:rPr>
          <w:rFonts w:ascii="Garamond" w:hAnsi="Garamond"/>
          <w:color w:val="auto"/>
        </w:rPr>
      </w:pPr>
      <w:r w:rsidRPr="000B14DE">
        <w:rPr>
          <w:rFonts w:ascii="Garamond" w:hAnsi="Garamond"/>
          <w:color w:val="auto"/>
        </w:rPr>
        <w:t>The</w:t>
      </w:r>
      <w:r w:rsidR="0006581C">
        <w:rPr>
          <w:rFonts w:ascii="Garamond" w:hAnsi="Garamond"/>
          <w:color w:val="auto"/>
        </w:rPr>
        <w:t>se</w:t>
      </w:r>
      <w:r w:rsidRPr="000B14DE">
        <w:rPr>
          <w:rFonts w:ascii="Garamond" w:hAnsi="Garamond"/>
          <w:color w:val="auto"/>
        </w:rPr>
        <w:t xml:space="preserve"> systematic reviews are more robust and </w:t>
      </w:r>
      <w:r w:rsidR="0006581C">
        <w:rPr>
          <w:rFonts w:ascii="Garamond" w:hAnsi="Garamond"/>
          <w:color w:val="auto"/>
        </w:rPr>
        <w:t xml:space="preserve">are the </w:t>
      </w:r>
      <w:r w:rsidRPr="000B14DE">
        <w:rPr>
          <w:rFonts w:ascii="Garamond" w:hAnsi="Garamond"/>
          <w:color w:val="auto"/>
        </w:rPr>
        <w:t>higher level of evidence</w:t>
      </w:r>
      <w:r w:rsidR="0006581C">
        <w:rPr>
          <w:rFonts w:ascii="Garamond" w:hAnsi="Garamond"/>
          <w:color w:val="auto"/>
        </w:rPr>
        <w:t xml:space="preserve">. The systematic review </w:t>
      </w:r>
      <w:r w:rsidR="00686374">
        <w:rPr>
          <w:rFonts w:ascii="Garamond" w:hAnsi="Garamond"/>
          <w:color w:val="auto"/>
        </w:rPr>
        <w:t>suggest</w:t>
      </w:r>
      <w:r w:rsidRPr="000B14DE">
        <w:rPr>
          <w:rFonts w:ascii="Garamond" w:hAnsi="Garamond"/>
          <w:color w:val="auto"/>
        </w:rPr>
        <w:t xml:space="preserve"> that tattooing is associated with blood borne viruses, especially with hepatitis C</w:t>
      </w:r>
      <w:r w:rsidR="00EC4D08">
        <w:rPr>
          <w:rFonts w:ascii="Garamond" w:hAnsi="Garamond"/>
          <w:color w:val="auto"/>
        </w:rPr>
        <w:t>, when tattooing is practised under unhygienic conditions</w:t>
      </w:r>
      <w:r w:rsidRPr="000B14DE">
        <w:rPr>
          <w:rFonts w:ascii="Garamond" w:hAnsi="Garamond"/>
          <w:color w:val="auto"/>
        </w:rPr>
        <w:t xml:space="preserve">. </w:t>
      </w:r>
    </w:p>
    <w:p w:rsidR="00006F4D" w:rsidRPr="000B14DE" w:rsidRDefault="00006F4D" w:rsidP="007D20B7">
      <w:pPr>
        <w:pStyle w:val="Heading2"/>
        <w:spacing w:line="360" w:lineRule="auto"/>
        <w:rPr>
          <w:rFonts w:ascii="Garamond" w:hAnsi="Garamond"/>
        </w:rPr>
      </w:pPr>
      <w:bookmarkStart w:id="23" w:name="_Toc325554593"/>
      <w:r w:rsidRPr="000B14DE">
        <w:rPr>
          <w:rFonts w:ascii="Garamond" w:hAnsi="Garamond"/>
        </w:rPr>
        <w:t>Infections and risk of transmission</w:t>
      </w:r>
      <w:bookmarkEnd w:id="23"/>
    </w:p>
    <w:p w:rsidR="000B14DE" w:rsidRDefault="00006F4D" w:rsidP="007D20B7">
      <w:pPr>
        <w:spacing w:line="360" w:lineRule="auto"/>
        <w:jc w:val="both"/>
        <w:rPr>
          <w:rFonts w:ascii="Garamond" w:hAnsi="Garamond"/>
          <w:color w:val="auto"/>
        </w:rPr>
      </w:pPr>
      <w:r w:rsidRPr="000B14DE">
        <w:rPr>
          <w:rFonts w:ascii="Garamond" w:hAnsi="Garamond"/>
          <w:color w:val="auto"/>
        </w:rPr>
        <w:t xml:space="preserve">Some of the articles identified </w:t>
      </w:r>
      <w:r w:rsidR="00390388">
        <w:rPr>
          <w:rFonts w:ascii="Garamond" w:hAnsi="Garamond"/>
          <w:color w:val="auto"/>
        </w:rPr>
        <w:t xml:space="preserve">from this literature review </w:t>
      </w:r>
      <w:r w:rsidRPr="000B14DE">
        <w:rPr>
          <w:rFonts w:ascii="Garamond" w:hAnsi="Garamond"/>
          <w:color w:val="auto"/>
        </w:rPr>
        <w:t xml:space="preserve">were able to deduce some plausible means of infection transmission. These were either based on independent risk factors associated with infection in some of the analytical studies or on case report observation.  </w:t>
      </w:r>
    </w:p>
    <w:p w:rsidR="007D20B7" w:rsidRPr="007D20B7" w:rsidRDefault="007D20B7" w:rsidP="007D20B7">
      <w:pPr>
        <w:spacing w:line="360" w:lineRule="auto"/>
        <w:jc w:val="both"/>
        <w:rPr>
          <w:rFonts w:ascii="Garamond" w:hAnsi="Garamond"/>
          <w:color w:val="auto"/>
        </w:rPr>
      </w:pPr>
    </w:p>
    <w:p w:rsidR="00006F4D" w:rsidRPr="000B14DE" w:rsidRDefault="00006F4D" w:rsidP="00930A78">
      <w:pPr>
        <w:spacing w:line="480" w:lineRule="auto"/>
        <w:jc w:val="both"/>
        <w:rPr>
          <w:rFonts w:ascii="Garamond" w:hAnsi="Garamond"/>
          <w:i/>
          <w:color w:val="auto"/>
        </w:rPr>
      </w:pPr>
      <w:r w:rsidRPr="000B14DE">
        <w:rPr>
          <w:rFonts w:ascii="Garamond" w:hAnsi="Garamond"/>
          <w:i/>
          <w:color w:val="auto"/>
        </w:rPr>
        <w:t>Tattooist practise e.g. saliva</w:t>
      </w:r>
    </w:p>
    <w:p w:rsidR="00006F4D" w:rsidRPr="000B14DE" w:rsidRDefault="00EC4D08" w:rsidP="00E61BB2">
      <w:pPr>
        <w:spacing w:line="360" w:lineRule="auto"/>
        <w:jc w:val="both"/>
        <w:rPr>
          <w:rFonts w:ascii="Garamond" w:hAnsi="Garamond"/>
          <w:color w:val="auto"/>
        </w:rPr>
      </w:pPr>
      <w:r>
        <w:rPr>
          <w:rFonts w:ascii="Garamond" w:hAnsi="Garamond"/>
          <w:color w:val="auto"/>
        </w:rPr>
        <w:t xml:space="preserve">A case report by </w:t>
      </w:r>
      <w:r w:rsidRPr="00993A63">
        <w:rPr>
          <w:rFonts w:ascii="Garamond" w:hAnsi="Garamond"/>
          <w:bCs/>
        </w:rPr>
        <w:t>Goldstein</w:t>
      </w:r>
      <w:r w:rsidRPr="001C1974">
        <w:rPr>
          <w:rFonts w:ascii="Garamond" w:hAnsi="Garamond"/>
        </w:rPr>
        <w:t xml:space="preserve"> </w:t>
      </w:r>
      <w:r>
        <w:rPr>
          <w:rFonts w:ascii="Garamond" w:hAnsi="Garamond"/>
        </w:rPr>
        <w:t>(1979)</w:t>
      </w:r>
      <w:r w:rsidR="00006F4D" w:rsidRPr="000B14DE">
        <w:rPr>
          <w:rFonts w:ascii="Garamond" w:hAnsi="Garamond"/>
          <w:color w:val="auto"/>
        </w:rPr>
        <w:t xml:space="preserve"> </w:t>
      </w:r>
      <w:r>
        <w:rPr>
          <w:rFonts w:ascii="Garamond" w:hAnsi="Garamond"/>
          <w:color w:val="auto"/>
        </w:rPr>
        <w:t xml:space="preserve">implicated a </w:t>
      </w:r>
      <w:r w:rsidR="00006F4D" w:rsidRPr="000B14DE">
        <w:rPr>
          <w:rFonts w:ascii="Garamond" w:hAnsi="Garamond"/>
          <w:color w:val="auto"/>
        </w:rPr>
        <w:t>tattooist</w:t>
      </w:r>
      <w:r>
        <w:rPr>
          <w:rFonts w:ascii="Garamond" w:hAnsi="Garamond"/>
          <w:color w:val="auto"/>
        </w:rPr>
        <w:t>,</w:t>
      </w:r>
      <w:r w:rsidR="00006F4D" w:rsidRPr="000B14DE">
        <w:rPr>
          <w:rFonts w:ascii="Garamond" w:hAnsi="Garamond"/>
          <w:color w:val="auto"/>
        </w:rPr>
        <w:t xml:space="preserve"> </w:t>
      </w:r>
      <w:r>
        <w:rPr>
          <w:rFonts w:ascii="Garamond" w:hAnsi="Garamond"/>
          <w:color w:val="auto"/>
        </w:rPr>
        <w:t xml:space="preserve">who </w:t>
      </w:r>
      <w:r w:rsidR="00006F4D" w:rsidRPr="000B14DE">
        <w:rPr>
          <w:rFonts w:ascii="Garamond" w:hAnsi="Garamond"/>
          <w:color w:val="auto"/>
        </w:rPr>
        <w:t>had the habit of putting the instruments in their mouth while tattooing</w:t>
      </w:r>
      <w:r>
        <w:rPr>
          <w:rFonts w:ascii="Garamond" w:hAnsi="Garamond"/>
          <w:color w:val="auto"/>
        </w:rPr>
        <w:t>,</w:t>
      </w:r>
      <w:r w:rsidR="00006F4D" w:rsidRPr="000B14DE">
        <w:rPr>
          <w:rFonts w:ascii="Garamond" w:hAnsi="Garamond"/>
          <w:color w:val="auto"/>
        </w:rPr>
        <w:t xml:space="preserve"> </w:t>
      </w:r>
      <w:r>
        <w:rPr>
          <w:rFonts w:ascii="Garamond" w:hAnsi="Garamond"/>
          <w:color w:val="auto"/>
        </w:rPr>
        <w:t xml:space="preserve">as the main source infection and the vehicle for </w:t>
      </w:r>
      <w:r w:rsidR="00006F4D" w:rsidRPr="000B14DE">
        <w:rPr>
          <w:rFonts w:ascii="Garamond" w:hAnsi="Garamond"/>
          <w:color w:val="auto"/>
        </w:rPr>
        <w:t xml:space="preserve">the spread </w:t>
      </w:r>
      <w:r>
        <w:rPr>
          <w:rFonts w:ascii="Garamond" w:hAnsi="Garamond"/>
          <w:color w:val="auto"/>
        </w:rPr>
        <w:t xml:space="preserve">in a </w:t>
      </w:r>
      <w:r w:rsidRPr="000B14DE">
        <w:rPr>
          <w:rFonts w:ascii="Garamond" w:hAnsi="Garamond"/>
          <w:color w:val="auto"/>
        </w:rPr>
        <w:t>syphilis</w:t>
      </w:r>
      <w:r>
        <w:rPr>
          <w:rFonts w:ascii="Garamond" w:hAnsi="Garamond"/>
          <w:color w:val="auto"/>
        </w:rPr>
        <w:t xml:space="preserve"> outbreak </w:t>
      </w:r>
      <w:r w:rsidR="002242DF">
        <w:rPr>
          <w:rFonts w:ascii="Garamond" w:hAnsi="Garamond"/>
          <w:color w:val="auto"/>
        </w:rPr>
        <w:t>(</w:t>
      </w:r>
      <w:r w:rsidRPr="008B6D4E">
        <w:rPr>
          <w:rFonts w:ascii="Garamond" w:hAnsi="Garamond"/>
        </w:rPr>
        <w:t>Cuyper and Perez-Cotapos, 2010</w:t>
      </w:r>
      <w:r w:rsidR="002242DF">
        <w:rPr>
          <w:rFonts w:ascii="Garamond" w:hAnsi="Garamond"/>
          <w:color w:val="auto"/>
        </w:rPr>
        <w:t>)</w:t>
      </w:r>
      <w:r w:rsidR="00006F4D" w:rsidRPr="000B14DE">
        <w:rPr>
          <w:rFonts w:ascii="Garamond" w:hAnsi="Garamond"/>
          <w:color w:val="auto"/>
        </w:rPr>
        <w:t xml:space="preserve">. Although the tattoo appeared to have been performed by an amateur in an unregulated environment, it is never the less a possible practise amongst tattooist </w:t>
      </w:r>
      <w:r w:rsidR="00390388">
        <w:rPr>
          <w:rFonts w:ascii="Garamond" w:hAnsi="Garamond"/>
          <w:color w:val="auto"/>
        </w:rPr>
        <w:t xml:space="preserve">and </w:t>
      </w:r>
      <w:r w:rsidR="00006F4D" w:rsidRPr="000B14DE">
        <w:rPr>
          <w:rFonts w:ascii="Garamond" w:hAnsi="Garamond"/>
          <w:color w:val="auto"/>
        </w:rPr>
        <w:t xml:space="preserve">that poses a significant risk for infection transmission.  </w:t>
      </w:r>
    </w:p>
    <w:p w:rsidR="00006F4D" w:rsidRPr="000B14DE" w:rsidRDefault="00006F4D" w:rsidP="00E61BB2">
      <w:pPr>
        <w:spacing w:line="360" w:lineRule="auto"/>
        <w:jc w:val="both"/>
        <w:rPr>
          <w:rFonts w:ascii="Garamond" w:hAnsi="Garamond"/>
          <w:color w:val="auto"/>
        </w:rPr>
      </w:pPr>
    </w:p>
    <w:p w:rsidR="00006F4D" w:rsidRPr="000B14DE" w:rsidRDefault="00006F4D" w:rsidP="00930A78">
      <w:pPr>
        <w:spacing w:line="480" w:lineRule="auto"/>
        <w:jc w:val="both"/>
        <w:rPr>
          <w:rFonts w:ascii="Garamond" w:hAnsi="Garamond"/>
          <w:color w:val="auto"/>
        </w:rPr>
      </w:pPr>
      <w:r w:rsidRPr="000B14DE">
        <w:rPr>
          <w:rFonts w:ascii="Garamond" w:hAnsi="Garamond"/>
          <w:i/>
          <w:color w:val="auto"/>
        </w:rPr>
        <w:t xml:space="preserve">Area covered by tattoo.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The length of a tattoo procedure and the area of the body covered in relation to acquiring blood borne virus have been explored. Robotin </w:t>
      </w:r>
      <w:r w:rsidRPr="00E36473">
        <w:rPr>
          <w:rFonts w:ascii="Garamond" w:hAnsi="Garamond"/>
          <w:color w:val="auto"/>
        </w:rPr>
        <w:t>et al</w:t>
      </w:r>
      <w:r w:rsidR="00E36473">
        <w:rPr>
          <w:rFonts w:ascii="Garamond" w:hAnsi="Garamond"/>
          <w:color w:val="auto"/>
        </w:rPr>
        <w:t>.</w:t>
      </w:r>
      <w:r w:rsidR="00925240">
        <w:rPr>
          <w:rFonts w:ascii="Garamond" w:hAnsi="Garamond"/>
          <w:color w:val="auto"/>
        </w:rPr>
        <w:t>,</w:t>
      </w:r>
      <w:r w:rsidRPr="00E36473">
        <w:rPr>
          <w:rFonts w:ascii="Garamond" w:hAnsi="Garamond"/>
          <w:color w:val="auto"/>
        </w:rPr>
        <w:t xml:space="preserve"> </w:t>
      </w:r>
      <w:r w:rsidRPr="000B14DE">
        <w:rPr>
          <w:rFonts w:ascii="Garamond" w:hAnsi="Garamond"/>
          <w:color w:val="auto"/>
        </w:rPr>
        <w:t>(2004)</w:t>
      </w:r>
      <w:r w:rsidR="00E36473">
        <w:rPr>
          <w:rFonts w:ascii="Garamond" w:hAnsi="Garamond"/>
          <w:color w:val="auto"/>
        </w:rPr>
        <w:t xml:space="preserve"> </w:t>
      </w:r>
      <w:r w:rsidRPr="000B14DE">
        <w:rPr>
          <w:rFonts w:ascii="Garamond" w:hAnsi="Garamond"/>
          <w:color w:val="auto"/>
        </w:rPr>
        <w:t>in their study observed that those who had tattoo that covered an area greater than 1cm</w:t>
      </w:r>
      <w:r w:rsidRPr="000B14DE">
        <w:rPr>
          <w:rFonts w:ascii="Garamond" w:hAnsi="Garamond"/>
          <w:color w:val="auto"/>
          <w:vertAlign w:val="superscript"/>
        </w:rPr>
        <w:t>2</w:t>
      </w:r>
      <w:r w:rsidRPr="000B14DE">
        <w:rPr>
          <w:rFonts w:ascii="Garamond" w:hAnsi="Garamond"/>
          <w:color w:val="auto"/>
        </w:rPr>
        <w:t xml:space="preserve"> were more at risk of blood borne virus infections</w:t>
      </w:r>
      <w:r w:rsidR="003C1D4A">
        <w:rPr>
          <w:rFonts w:ascii="Garamond" w:hAnsi="Garamond"/>
          <w:color w:val="auto"/>
        </w:rPr>
        <w:t xml:space="preserve"> than those who don’t have tattoo,</w:t>
      </w:r>
      <w:r w:rsidRPr="000B14DE">
        <w:rPr>
          <w:rFonts w:ascii="Garamond" w:hAnsi="Garamond"/>
          <w:color w:val="auto"/>
        </w:rPr>
        <w:t xml:space="preserve"> with those that </w:t>
      </w:r>
      <w:r w:rsidR="003C1D4A">
        <w:rPr>
          <w:rFonts w:ascii="Garamond" w:hAnsi="Garamond"/>
          <w:color w:val="auto"/>
        </w:rPr>
        <w:t xml:space="preserve">have tattoo </w:t>
      </w:r>
      <w:r w:rsidRPr="000B14DE">
        <w:rPr>
          <w:rFonts w:ascii="Garamond" w:hAnsi="Garamond"/>
          <w:color w:val="auto"/>
        </w:rPr>
        <w:t>cover</w:t>
      </w:r>
      <w:r w:rsidR="003C1D4A">
        <w:rPr>
          <w:rFonts w:ascii="Garamond" w:hAnsi="Garamond"/>
          <w:color w:val="auto"/>
        </w:rPr>
        <w:t>ing</w:t>
      </w:r>
      <w:r w:rsidRPr="000B14DE">
        <w:rPr>
          <w:rFonts w:ascii="Garamond" w:hAnsi="Garamond"/>
          <w:color w:val="auto"/>
        </w:rPr>
        <w:t xml:space="preserve"> an area greater than 20cm</w:t>
      </w:r>
      <w:r w:rsidRPr="000B14DE">
        <w:rPr>
          <w:rFonts w:ascii="Garamond" w:hAnsi="Garamond"/>
          <w:color w:val="auto"/>
          <w:vertAlign w:val="superscript"/>
        </w:rPr>
        <w:t>2</w:t>
      </w:r>
      <w:r w:rsidR="00C1062B">
        <w:rPr>
          <w:rFonts w:ascii="Garamond" w:hAnsi="Garamond"/>
          <w:color w:val="auto"/>
        </w:rPr>
        <w:t xml:space="preserve"> having the</w:t>
      </w:r>
      <w:r w:rsidR="003C1D4A">
        <w:rPr>
          <w:rFonts w:ascii="Garamond" w:hAnsi="Garamond"/>
          <w:color w:val="auto"/>
        </w:rPr>
        <w:t xml:space="preserve"> greatest</w:t>
      </w:r>
      <w:r w:rsidRPr="000B14DE">
        <w:rPr>
          <w:rFonts w:ascii="Garamond" w:hAnsi="Garamond"/>
          <w:color w:val="auto"/>
        </w:rPr>
        <w:t xml:space="preserve"> risk. It also appears that the larger the area covered the longer the time it takes to complete the tattoo and this could result in lax aseptic practise. </w:t>
      </w:r>
      <w:r w:rsidR="00C1062B">
        <w:rPr>
          <w:rFonts w:ascii="Garamond" w:hAnsi="Garamond"/>
          <w:color w:val="auto"/>
        </w:rPr>
        <w:t>This analytical evidence</w:t>
      </w:r>
      <w:r w:rsidR="003F0971">
        <w:rPr>
          <w:rFonts w:ascii="Garamond" w:hAnsi="Garamond"/>
          <w:color w:val="auto"/>
        </w:rPr>
        <w:t xml:space="preserve"> was a robust analysis of retrospective data from the Australian hepatitis C surveillance data for the period </w:t>
      </w:r>
      <w:r w:rsidR="003F0971" w:rsidRPr="003F0971">
        <w:rPr>
          <w:rFonts w:ascii="Garamond" w:hAnsi="Garamond"/>
          <w:color w:val="auto"/>
        </w:rPr>
        <w:t>1997 to 2000</w:t>
      </w:r>
      <w:r w:rsidR="003F0971">
        <w:rPr>
          <w:rFonts w:ascii="Garamond" w:hAnsi="Garamond"/>
          <w:color w:val="auto"/>
        </w:rPr>
        <w:t>.</w:t>
      </w:r>
    </w:p>
    <w:p w:rsidR="00925240" w:rsidRPr="000B14DE" w:rsidRDefault="00925240" w:rsidP="00E61BB2">
      <w:pPr>
        <w:spacing w:line="360" w:lineRule="auto"/>
        <w:jc w:val="both"/>
        <w:rPr>
          <w:rFonts w:ascii="Garamond" w:hAnsi="Garamond"/>
          <w:color w:val="auto"/>
        </w:rPr>
      </w:pPr>
    </w:p>
    <w:p w:rsidR="00006F4D" w:rsidRPr="000B14DE" w:rsidRDefault="00006F4D" w:rsidP="00930A78">
      <w:pPr>
        <w:spacing w:line="480" w:lineRule="auto"/>
        <w:jc w:val="both"/>
        <w:rPr>
          <w:rFonts w:ascii="Garamond" w:hAnsi="Garamond"/>
          <w:color w:val="auto"/>
        </w:rPr>
      </w:pPr>
      <w:r w:rsidRPr="000B14DE">
        <w:rPr>
          <w:rFonts w:ascii="Garamond" w:hAnsi="Garamond"/>
          <w:i/>
          <w:color w:val="auto"/>
        </w:rPr>
        <w:t>Number of tattoos</w:t>
      </w:r>
      <w:r w:rsidRPr="000B14DE">
        <w:rPr>
          <w:rFonts w:ascii="Garamond" w:hAnsi="Garamond"/>
          <w:color w:val="auto"/>
        </w:rPr>
        <w:t xml:space="preserve"> </w:t>
      </w:r>
    </w:p>
    <w:p w:rsidR="006C5BF5" w:rsidRDefault="00006F4D" w:rsidP="00E61BB2">
      <w:pPr>
        <w:spacing w:line="360" w:lineRule="auto"/>
        <w:jc w:val="both"/>
        <w:rPr>
          <w:rFonts w:ascii="Garamond" w:hAnsi="Garamond"/>
          <w:color w:val="auto"/>
        </w:rPr>
      </w:pPr>
      <w:r w:rsidRPr="000B14DE">
        <w:rPr>
          <w:rFonts w:ascii="Garamond" w:hAnsi="Garamond"/>
          <w:color w:val="auto"/>
        </w:rPr>
        <w:t xml:space="preserve">Nishioka </w:t>
      </w:r>
      <w:r w:rsidRPr="00E36473">
        <w:rPr>
          <w:rFonts w:ascii="Garamond" w:hAnsi="Garamond"/>
          <w:color w:val="auto"/>
        </w:rPr>
        <w:t>et al</w:t>
      </w:r>
      <w:r w:rsidR="00E36473">
        <w:rPr>
          <w:rFonts w:ascii="Garamond" w:hAnsi="Garamond"/>
          <w:color w:val="auto"/>
        </w:rPr>
        <w:t>.</w:t>
      </w:r>
      <w:r w:rsidRPr="000B14DE">
        <w:rPr>
          <w:rFonts w:ascii="Garamond" w:hAnsi="Garamond"/>
          <w:color w:val="auto"/>
        </w:rPr>
        <w:t xml:space="preserve"> (2002) observed that increasing number of tattooing was associated with the risk of hepatitis B infection, further asserting that those having three or more tattoos were associated with at least one blood borne virus.</w:t>
      </w:r>
      <w:r w:rsidR="006C5BF5">
        <w:rPr>
          <w:rFonts w:ascii="Garamond" w:hAnsi="Garamond"/>
          <w:color w:val="auto"/>
        </w:rPr>
        <w:t xml:space="preserve"> The finding from this study is plausible, however, </w:t>
      </w:r>
      <w:r w:rsidRPr="000B14DE">
        <w:rPr>
          <w:rFonts w:ascii="Garamond" w:hAnsi="Garamond"/>
          <w:color w:val="auto"/>
        </w:rPr>
        <w:t xml:space="preserve">this was a cross sectional study which used a convenient sample and with concerns on ascertainment of some variables that could </w:t>
      </w:r>
      <w:r w:rsidR="00FC3735">
        <w:rPr>
          <w:rFonts w:ascii="Garamond" w:hAnsi="Garamond"/>
          <w:color w:val="auto"/>
        </w:rPr>
        <w:t>bias</w:t>
      </w:r>
      <w:r w:rsidRPr="000B14DE">
        <w:rPr>
          <w:rFonts w:ascii="Garamond" w:hAnsi="Garamond"/>
          <w:color w:val="auto"/>
        </w:rPr>
        <w:t xml:space="preserve"> the findings</w:t>
      </w:r>
      <w:r w:rsidR="006C5BF5">
        <w:rPr>
          <w:rFonts w:ascii="Garamond" w:hAnsi="Garamond"/>
          <w:color w:val="auto"/>
        </w:rPr>
        <w:t>,</w:t>
      </w:r>
      <w:r w:rsidRPr="000B14DE">
        <w:rPr>
          <w:rFonts w:ascii="Garamond" w:hAnsi="Garamond"/>
          <w:color w:val="auto"/>
        </w:rPr>
        <w:t xml:space="preserve"> hence caution with interpretation.</w:t>
      </w:r>
      <w:r w:rsidR="006C5BF5">
        <w:rPr>
          <w:rFonts w:ascii="Garamond" w:hAnsi="Garamond"/>
          <w:color w:val="auto"/>
        </w:rPr>
        <w:t xml:space="preserve"> </w:t>
      </w:r>
    </w:p>
    <w:p w:rsidR="00925240" w:rsidRPr="000B14DE" w:rsidRDefault="00925240" w:rsidP="00E61BB2">
      <w:pPr>
        <w:spacing w:line="360" w:lineRule="auto"/>
        <w:jc w:val="both"/>
        <w:rPr>
          <w:rFonts w:ascii="Garamond" w:hAnsi="Garamond"/>
          <w:color w:val="auto"/>
        </w:rPr>
      </w:pPr>
    </w:p>
    <w:p w:rsidR="00006F4D" w:rsidRPr="000B14DE" w:rsidRDefault="00006F4D" w:rsidP="00930A78">
      <w:pPr>
        <w:spacing w:line="480" w:lineRule="auto"/>
        <w:jc w:val="both"/>
        <w:rPr>
          <w:rFonts w:ascii="Garamond" w:hAnsi="Garamond"/>
          <w:color w:val="auto"/>
        </w:rPr>
      </w:pPr>
      <w:r w:rsidRPr="000B14DE">
        <w:rPr>
          <w:rFonts w:ascii="Garamond" w:hAnsi="Garamond"/>
          <w:i/>
          <w:color w:val="auto"/>
        </w:rPr>
        <w:t>Contaminated materials e.g. dyes</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The risks associated with tattooing treatments have been acknowledged over many years and, as mentioned above, the primary concern is of potential blood-borne virus transmission from client to client, or between client and operator</w:t>
      </w:r>
      <w:r w:rsidR="006C5BF5">
        <w:rPr>
          <w:rFonts w:ascii="Garamond" w:hAnsi="Garamond"/>
          <w:color w:val="auto"/>
        </w:rPr>
        <w:t xml:space="preserve"> </w:t>
      </w:r>
      <w:r w:rsidR="002242DF">
        <w:rPr>
          <w:rFonts w:ascii="Garamond" w:hAnsi="Garamond"/>
          <w:color w:val="auto"/>
        </w:rPr>
        <w:t>(</w:t>
      </w:r>
      <w:r w:rsidR="006C5BF5">
        <w:rPr>
          <w:rFonts w:ascii="Garamond" w:hAnsi="Garamond"/>
        </w:rPr>
        <w:t xml:space="preserve">Haley and Fischer, 2001; </w:t>
      </w:r>
      <w:r w:rsidR="006C5BF5" w:rsidRPr="003D584D">
        <w:rPr>
          <w:rFonts w:ascii="Garamond" w:hAnsi="Garamond"/>
        </w:rPr>
        <w:t>Cuyper and Perez-Cotapos</w:t>
      </w:r>
      <w:r w:rsidR="006C5BF5">
        <w:rPr>
          <w:rFonts w:ascii="Garamond" w:hAnsi="Garamond"/>
        </w:rPr>
        <w:t>, 2010</w:t>
      </w:r>
      <w:r w:rsidR="00E36473">
        <w:rPr>
          <w:rFonts w:ascii="Garamond" w:hAnsi="Garamond"/>
          <w:color w:val="auto"/>
        </w:rPr>
        <w:t>)</w:t>
      </w:r>
      <w:r w:rsidR="00E36473" w:rsidRPr="000B14DE">
        <w:rPr>
          <w:rFonts w:ascii="Garamond" w:hAnsi="Garamond"/>
          <w:color w:val="auto"/>
        </w:rPr>
        <w:t>.</w:t>
      </w:r>
      <w:r w:rsidRPr="000B14DE">
        <w:rPr>
          <w:rFonts w:ascii="Garamond" w:hAnsi="Garamond"/>
          <w:color w:val="auto"/>
        </w:rPr>
        <w:t xml:space="preserve">  Additional risks associated with tattooing include the potential for localised bacterial skin infections as well as dermal allergies to ink components, and complications have been reported following tattooing treatments</w:t>
      </w:r>
      <w:r w:rsidR="00B57DBB">
        <w:rPr>
          <w:rFonts w:ascii="Garamond" w:hAnsi="Garamond"/>
          <w:color w:val="auto"/>
        </w:rPr>
        <w:t xml:space="preserve"> </w:t>
      </w:r>
      <w:r w:rsidR="002242DF">
        <w:rPr>
          <w:rFonts w:ascii="Garamond" w:hAnsi="Garamond"/>
          <w:color w:val="auto"/>
        </w:rPr>
        <w:t>(</w:t>
      </w:r>
      <w:r w:rsidR="006C5BF5" w:rsidRPr="003D584D">
        <w:rPr>
          <w:rFonts w:ascii="Garamond" w:hAnsi="Garamond"/>
        </w:rPr>
        <w:t>Cuyper and Perez-Cotapos</w:t>
      </w:r>
      <w:r w:rsidR="006C5BF5">
        <w:rPr>
          <w:rFonts w:ascii="Garamond" w:hAnsi="Garamond"/>
        </w:rPr>
        <w:t>, 2010</w:t>
      </w:r>
      <w:r w:rsidR="002242DF">
        <w:rPr>
          <w:rFonts w:ascii="Garamond" w:hAnsi="Garamond"/>
          <w:color w:val="auto"/>
        </w:rPr>
        <w:t>)</w:t>
      </w:r>
      <w:r w:rsidRPr="000B14DE">
        <w:rPr>
          <w:rFonts w:ascii="Garamond" w:hAnsi="Garamond"/>
          <w:color w:val="auto"/>
        </w:rPr>
        <w:t>.  Microbiological contamination of inks may result from contamination at source, or due to subsequent environmental contamination, and chemical contamination is a direct result of the composition of the ink at the point of formulation.</w:t>
      </w:r>
    </w:p>
    <w:p w:rsidR="00B57DBB" w:rsidRDefault="00006F4D" w:rsidP="00E61BB2">
      <w:pPr>
        <w:spacing w:line="360" w:lineRule="auto"/>
        <w:jc w:val="both"/>
      </w:pPr>
      <w:r w:rsidRPr="000B14DE">
        <w:rPr>
          <w:rFonts w:ascii="Garamond" w:hAnsi="Garamond"/>
          <w:color w:val="auto"/>
        </w:rPr>
        <w:t>Reports of metal sensitivity following tattooing have been published, and dermatological responses have been linked with particular ink colours, especially red products [some containing mercury] and greens/blue</w:t>
      </w:r>
      <w:r w:rsidR="006C5BF5">
        <w:rPr>
          <w:rFonts w:ascii="Garamond" w:hAnsi="Garamond"/>
          <w:color w:val="auto"/>
        </w:rPr>
        <w:t>/yellow</w:t>
      </w:r>
      <w:r w:rsidRPr="000B14DE">
        <w:rPr>
          <w:rFonts w:ascii="Garamond" w:hAnsi="Garamond"/>
          <w:color w:val="auto"/>
        </w:rPr>
        <w:t xml:space="preserve"> [chromate/cobalt</w:t>
      </w:r>
      <w:r w:rsidR="006C5BF5">
        <w:rPr>
          <w:rFonts w:ascii="Garamond" w:hAnsi="Garamond"/>
          <w:color w:val="auto"/>
        </w:rPr>
        <w:t xml:space="preserve">/ </w:t>
      </w:r>
      <w:r w:rsidR="006C5BF5" w:rsidRPr="000B14DE">
        <w:rPr>
          <w:rFonts w:ascii="Garamond" w:hAnsi="Garamond"/>
          <w:color w:val="auto"/>
        </w:rPr>
        <w:t>cadmium sulphide]</w:t>
      </w:r>
      <w:r w:rsidR="006C5BF5">
        <w:rPr>
          <w:rFonts w:ascii="Garamond" w:hAnsi="Garamond"/>
          <w:color w:val="auto"/>
        </w:rPr>
        <w:t xml:space="preserve"> (</w:t>
      </w:r>
      <w:r w:rsidR="006C5BF5" w:rsidRPr="000A7ED8">
        <w:rPr>
          <w:rFonts w:ascii="Garamond" w:hAnsi="Garamond"/>
          <w:color w:val="auto"/>
        </w:rPr>
        <w:t xml:space="preserve">Papameletiou </w:t>
      </w:r>
      <w:r w:rsidR="006C5BF5">
        <w:rPr>
          <w:rFonts w:ascii="Garamond" w:hAnsi="Garamond"/>
        </w:rPr>
        <w:t xml:space="preserve">et al., </w:t>
      </w:r>
      <w:r w:rsidR="006C5BF5">
        <w:rPr>
          <w:rFonts w:ascii="Garamond" w:hAnsi="Garamond"/>
          <w:color w:val="auto"/>
        </w:rPr>
        <w:t xml:space="preserve">2003; </w:t>
      </w:r>
      <w:r w:rsidR="006C5BF5" w:rsidRPr="003D584D">
        <w:rPr>
          <w:rFonts w:ascii="Garamond" w:hAnsi="Garamond"/>
        </w:rPr>
        <w:t>Cuyper and Perez-Cotapos</w:t>
      </w:r>
      <w:r w:rsidR="006C5BF5">
        <w:rPr>
          <w:rFonts w:ascii="Garamond" w:hAnsi="Garamond"/>
        </w:rPr>
        <w:t>, 2010</w:t>
      </w:r>
      <w:r w:rsidR="002242DF">
        <w:rPr>
          <w:rFonts w:ascii="Garamond" w:hAnsi="Garamond"/>
          <w:color w:val="auto"/>
        </w:rPr>
        <w:t>)</w:t>
      </w:r>
      <w:r w:rsidR="006C5BF5">
        <w:rPr>
          <w:rFonts w:ascii="Garamond" w:hAnsi="Garamond"/>
          <w:color w:val="auto"/>
        </w:rPr>
        <w:t>.</w:t>
      </w:r>
    </w:p>
    <w:p w:rsidR="00006F4D" w:rsidRPr="000B14DE" w:rsidRDefault="00B57DBB" w:rsidP="00E61BB2">
      <w:pPr>
        <w:spacing w:line="360" w:lineRule="auto"/>
        <w:jc w:val="both"/>
        <w:rPr>
          <w:rFonts w:ascii="Garamond" w:hAnsi="Garamond"/>
          <w:color w:val="auto"/>
        </w:rPr>
      </w:pPr>
      <w:r w:rsidRPr="00B57DBB">
        <w:rPr>
          <w:rFonts w:ascii="Garamond" w:hAnsi="Garamond"/>
        </w:rPr>
        <w:t>Also, there are concerns that some of the constituent of the inks used may be cause cancer</w:t>
      </w:r>
      <w:r>
        <w:rPr>
          <w:rFonts w:ascii="Garamond" w:hAnsi="Garamond"/>
        </w:rPr>
        <w:t xml:space="preserve"> (</w:t>
      </w:r>
      <w:r w:rsidRPr="003D584D">
        <w:rPr>
          <w:rFonts w:ascii="Garamond" w:hAnsi="Garamond"/>
        </w:rPr>
        <w:t>Cuyper and Perez-Cotapos</w:t>
      </w:r>
      <w:r>
        <w:rPr>
          <w:rFonts w:ascii="Garamond" w:hAnsi="Garamond"/>
        </w:rPr>
        <w:t>, 2010</w:t>
      </w:r>
      <w:r>
        <w:rPr>
          <w:rFonts w:ascii="Garamond" w:hAnsi="Garamond"/>
          <w:color w:val="auto"/>
        </w:rPr>
        <w:t>).</w:t>
      </w:r>
    </w:p>
    <w:p w:rsidR="00D759C4" w:rsidRPr="000B14DE" w:rsidRDefault="00D759C4" w:rsidP="00E61BB2">
      <w:pPr>
        <w:spacing w:line="360" w:lineRule="auto"/>
        <w:jc w:val="both"/>
        <w:rPr>
          <w:rFonts w:ascii="Garamond" w:hAnsi="Garamond"/>
          <w:i/>
          <w:color w:val="auto"/>
        </w:rPr>
      </w:pPr>
    </w:p>
    <w:p w:rsidR="00006F4D" w:rsidRPr="000B14DE" w:rsidRDefault="00006F4D" w:rsidP="00930A78">
      <w:pPr>
        <w:spacing w:line="480" w:lineRule="auto"/>
        <w:jc w:val="both"/>
        <w:rPr>
          <w:rFonts w:ascii="Garamond" w:hAnsi="Garamond"/>
          <w:i/>
          <w:color w:val="auto"/>
        </w:rPr>
      </w:pPr>
      <w:r w:rsidRPr="000B14DE">
        <w:rPr>
          <w:rFonts w:ascii="Garamond" w:hAnsi="Garamond"/>
          <w:i/>
          <w:color w:val="auto"/>
        </w:rPr>
        <w:t xml:space="preserve">Unsterilized instrument </w:t>
      </w:r>
    </w:p>
    <w:p w:rsidR="00006F4D" w:rsidRDefault="00006F4D" w:rsidP="00E61BB2">
      <w:pPr>
        <w:spacing w:line="360" w:lineRule="auto"/>
        <w:jc w:val="both"/>
        <w:rPr>
          <w:rFonts w:ascii="Garamond" w:hAnsi="Garamond"/>
          <w:color w:val="auto"/>
        </w:rPr>
      </w:pPr>
      <w:r w:rsidRPr="000B14DE">
        <w:rPr>
          <w:rFonts w:ascii="Garamond" w:hAnsi="Garamond"/>
          <w:color w:val="auto"/>
        </w:rPr>
        <w:t xml:space="preserve">Most of the articles identified that indicated some complications with tattoo, especially blood borne virus, observed that there were </w:t>
      </w:r>
      <w:r w:rsidR="00B57DBB">
        <w:rPr>
          <w:rFonts w:ascii="Garamond" w:hAnsi="Garamond"/>
          <w:color w:val="auto"/>
        </w:rPr>
        <w:t>unhygienic</w:t>
      </w:r>
      <w:r w:rsidRPr="000B14DE">
        <w:rPr>
          <w:rFonts w:ascii="Garamond" w:hAnsi="Garamond"/>
          <w:color w:val="auto"/>
        </w:rPr>
        <w:t xml:space="preserve"> practise in place- mainly that instruments were unsterilized or inadequately sterilized</w:t>
      </w:r>
      <w:r w:rsidR="00B57DBB">
        <w:rPr>
          <w:rFonts w:ascii="Garamond" w:hAnsi="Garamond"/>
          <w:color w:val="auto"/>
        </w:rPr>
        <w:t xml:space="preserve"> (</w:t>
      </w:r>
      <w:r w:rsidR="00B57DBB" w:rsidRPr="003D584D">
        <w:rPr>
          <w:rFonts w:ascii="Garamond" w:hAnsi="Garamond"/>
        </w:rPr>
        <w:t xml:space="preserve">Abiona </w:t>
      </w:r>
      <w:r w:rsidR="00B57DBB">
        <w:rPr>
          <w:rFonts w:ascii="Garamond" w:hAnsi="Garamond"/>
        </w:rPr>
        <w:t>et al</w:t>
      </w:r>
      <w:r w:rsidR="00B57DBB" w:rsidRPr="003D584D">
        <w:rPr>
          <w:rFonts w:ascii="Garamond" w:hAnsi="Garamond"/>
        </w:rPr>
        <w:t>.</w:t>
      </w:r>
      <w:r w:rsidR="00B57DBB">
        <w:rPr>
          <w:rFonts w:ascii="Garamond" w:hAnsi="Garamond"/>
        </w:rPr>
        <w:t>,</w:t>
      </w:r>
      <w:r w:rsidR="00B57DBB" w:rsidRPr="00110BF0">
        <w:rPr>
          <w:rFonts w:ascii="Garamond" w:hAnsi="Garamond"/>
        </w:rPr>
        <w:t xml:space="preserve"> </w:t>
      </w:r>
      <w:r w:rsidR="00B57DBB">
        <w:rPr>
          <w:rFonts w:ascii="Garamond" w:hAnsi="Garamond"/>
        </w:rPr>
        <w:t>2010;</w:t>
      </w:r>
      <w:r w:rsidR="00B57DBB" w:rsidRPr="00B57DBB">
        <w:rPr>
          <w:rFonts w:ascii="Garamond" w:hAnsi="Garamond"/>
        </w:rPr>
        <w:t xml:space="preserve"> </w:t>
      </w:r>
      <w:r w:rsidR="00B57DBB" w:rsidRPr="003D584D">
        <w:rPr>
          <w:rFonts w:ascii="Garamond" w:hAnsi="Garamond"/>
        </w:rPr>
        <w:t>Cuyper and Perez-Cotapos</w:t>
      </w:r>
      <w:r w:rsidR="00B57DBB">
        <w:rPr>
          <w:rFonts w:ascii="Garamond" w:hAnsi="Garamond"/>
        </w:rPr>
        <w:t xml:space="preserve">, 2010; </w:t>
      </w:r>
      <w:r w:rsidR="00B57DBB" w:rsidRPr="003D584D">
        <w:rPr>
          <w:rFonts w:ascii="Garamond" w:hAnsi="Garamond"/>
        </w:rPr>
        <w:t xml:space="preserve">Jafari </w:t>
      </w:r>
      <w:r w:rsidR="00B57DBB">
        <w:rPr>
          <w:rFonts w:ascii="Garamond" w:hAnsi="Garamond"/>
        </w:rPr>
        <w:t>et al</w:t>
      </w:r>
      <w:r w:rsidR="00B57DBB" w:rsidRPr="003D584D">
        <w:rPr>
          <w:rFonts w:ascii="Garamond" w:hAnsi="Garamond"/>
        </w:rPr>
        <w:t>.</w:t>
      </w:r>
      <w:r w:rsidR="00B57DBB">
        <w:rPr>
          <w:rFonts w:ascii="Garamond" w:hAnsi="Garamond"/>
        </w:rPr>
        <w:t xml:space="preserve">, </w:t>
      </w:r>
      <w:r w:rsidR="00B57DBB" w:rsidRPr="003D584D">
        <w:rPr>
          <w:rFonts w:ascii="Garamond" w:hAnsi="Garamond"/>
        </w:rPr>
        <w:t>2010</w:t>
      </w:r>
      <w:r w:rsidR="00B57DBB">
        <w:rPr>
          <w:rFonts w:ascii="Garamond" w:hAnsi="Garamond"/>
        </w:rPr>
        <w:t>;</w:t>
      </w:r>
      <w:r w:rsidR="00B57DBB" w:rsidRPr="00B57DBB">
        <w:rPr>
          <w:rFonts w:ascii="Garamond" w:hAnsi="Garamond"/>
          <w:color w:val="auto"/>
        </w:rPr>
        <w:t xml:space="preserve"> </w:t>
      </w:r>
      <w:r w:rsidR="00B57DBB">
        <w:rPr>
          <w:rFonts w:ascii="Garamond" w:hAnsi="Garamond"/>
          <w:color w:val="auto"/>
        </w:rPr>
        <w:t xml:space="preserve">Tohme and Holmberg; </w:t>
      </w:r>
      <w:r w:rsidR="00B57DBB" w:rsidRPr="000B14DE">
        <w:rPr>
          <w:rFonts w:ascii="Garamond" w:hAnsi="Garamond"/>
          <w:color w:val="auto"/>
        </w:rPr>
        <w:t>2012)</w:t>
      </w:r>
      <w:r w:rsidR="00B57DBB" w:rsidRPr="003D584D">
        <w:rPr>
          <w:rFonts w:ascii="Garamond" w:hAnsi="Garamond"/>
        </w:rPr>
        <w:t>.</w:t>
      </w:r>
      <w:r w:rsidRPr="000B14DE">
        <w:rPr>
          <w:rFonts w:ascii="Garamond" w:hAnsi="Garamond"/>
          <w:color w:val="auto"/>
        </w:rPr>
        <w:t xml:space="preserve"> These instruments were subsequently shared, with the potential of infection spread from tattooist to client or from client to client.  See </w:t>
      </w:r>
      <w:r w:rsidR="00EB60E8" w:rsidRPr="000B14DE">
        <w:rPr>
          <w:rFonts w:ascii="Garamond" w:hAnsi="Garamond"/>
          <w:color w:val="auto"/>
        </w:rPr>
        <w:t>Table 2</w:t>
      </w:r>
      <w:r w:rsidRPr="000B14DE">
        <w:rPr>
          <w:rFonts w:ascii="Garamond" w:hAnsi="Garamond"/>
          <w:color w:val="auto"/>
        </w:rPr>
        <w:t xml:space="preserve"> for a summary of literature on mode of transmission.</w:t>
      </w:r>
    </w:p>
    <w:p w:rsidR="00B57DBB" w:rsidRPr="000B14DE" w:rsidRDefault="00B57DBB" w:rsidP="00E61BB2">
      <w:pPr>
        <w:spacing w:line="360" w:lineRule="auto"/>
        <w:jc w:val="both"/>
        <w:rPr>
          <w:rFonts w:ascii="Garamond" w:hAnsi="Garamond"/>
          <w:color w:val="auto"/>
        </w:rPr>
      </w:pPr>
    </w:p>
    <w:p w:rsidR="00006F4D" w:rsidRPr="000B14DE" w:rsidRDefault="00006F4D" w:rsidP="000B14DE">
      <w:pPr>
        <w:pStyle w:val="Heading1"/>
        <w:spacing w:line="480" w:lineRule="auto"/>
        <w:rPr>
          <w:rFonts w:ascii="Garamond" w:hAnsi="Garamond"/>
        </w:rPr>
      </w:pPr>
      <w:bookmarkStart w:id="24" w:name="_Toc325554594"/>
      <w:r w:rsidRPr="000B14DE">
        <w:rPr>
          <w:rFonts w:ascii="Garamond" w:hAnsi="Garamond"/>
        </w:rPr>
        <w:t>Current Guidelines</w:t>
      </w:r>
      <w:bookmarkEnd w:id="24"/>
      <w:r w:rsidRPr="000B14DE">
        <w:rPr>
          <w:rFonts w:ascii="Garamond" w:hAnsi="Garamond"/>
        </w:rPr>
        <w:t xml:space="preserve">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There are a number of guidelines on regulation and safe practise of body art but none of these guidelines has been formally recognised as a national </w:t>
      </w:r>
      <w:r w:rsidR="002F725B">
        <w:rPr>
          <w:rFonts w:ascii="Garamond" w:hAnsi="Garamond"/>
          <w:color w:val="auto"/>
        </w:rPr>
        <w:t xml:space="preserve">(infection control) </w:t>
      </w:r>
      <w:r w:rsidRPr="000B14DE">
        <w:rPr>
          <w:rFonts w:ascii="Garamond" w:hAnsi="Garamond"/>
          <w:color w:val="auto"/>
        </w:rPr>
        <w:t xml:space="preserve">guideline for body art. Key regulatory guidelines are the Local Authority Circulars (LAC), more specifically LAC 14.1 and LAC 76-2, which covers most of the regulatory requirement for body art practise.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The Chartered Institute of Environmental Health and Barbour Index published a guideline in 2001, which included advice on safe practise and regulatory requirements i.e. </w:t>
      </w:r>
      <w:r w:rsidRPr="000B14DE">
        <w:rPr>
          <w:rFonts w:ascii="Garamond" w:hAnsi="Garamond"/>
          <w:i/>
          <w:color w:val="auto"/>
        </w:rPr>
        <w:t>Body art, cosmetics therapies and special treatments</w:t>
      </w:r>
      <w:r w:rsidRPr="000B14DE">
        <w:rPr>
          <w:rFonts w:ascii="Garamond" w:hAnsi="Garamond"/>
          <w:color w:val="auto"/>
        </w:rPr>
        <w:t xml:space="preserve">. Further to this, the Working Party of London Consultants in Communicable Disease Control and Community Infection Control Nurse published the </w:t>
      </w:r>
      <w:r w:rsidRPr="000B14DE">
        <w:rPr>
          <w:rFonts w:ascii="Garamond" w:hAnsi="Garamond"/>
          <w:i/>
          <w:color w:val="auto"/>
        </w:rPr>
        <w:t>Guideline for Control of Infection in Special Treatments-Tattooing and Body Piercing (2002)</w:t>
      </w:r>
      <w:r w:rsidRPr="000B14DE">
        <w:rPr>
          <w:rFonts w:ascii="Garamond" w:hAnsi="Garamond"/>
          <w:color w:val="auto"/>
        </w:rPr>
        <w:t xml:space="preserve"> (revised in 2011). The Microbiology Advisory Committee of the Medicines and Healthcare Products Regulatory Agency (MHRA) have also published a guideline, </w:t>
      </w:r>
      <w:r w:rsidRPr="000B14DE">
        <w:rPr>
          <w:rFonts w:ascii="Garamond" w:hAnsi="Garamond"/>
          <w:i/>
          <w:color w:val="auto"/>
        </w:rPr>
        <w:t>The guidance bulletin on the Purchase, Operation and Maintenance of Bench-top Steam Sterilizers</w:t>
      </w:r>
      <w:r w:rsidRPr="000B14DE">
        <w:rPr>
          <w:rFonts w:ascii="Garamond" w:hAnsi="Garamond"/>
          <w:color w:val="auto"/>
        </w:rPr>
        <w:t xml:space="preserve"> </w:t>
      </w:r>
      <w:r w:rsidRPr="000B14DE">
        <w:rPr>
          <w:rFonts w:ascii="Garamond" w:hAnsi="Garamond"/>
          <w:i/>
          <w:color w:val="auto"/>
        </w:rPr>
        <w:t>(2002)</w:t>
      </w:r>
      <w:r w:rsidRPr="000B14DE">
        <w:rPr>
          <w:rFonts w:ascii="Garamond" w:hAnsi="Garamond"/>
          <w:color w:val="auto"/>
        </w:rPr>
        <w:t xml:space="preserve"> and </w:t>
      </w:r>
      <w:r w:rsidRPr="000B14DE">
        <w:rPr>
          <w:rFonts w:ascii="Garamond" w:hAnsi="Garamond"/>
          <w:i/>
          <w:color w:val="auto"/>
        </w:rPr>
        <w:t>The Sterilisation, Disinfection and Cleaning of Equipments; Guidance on Decontamination</w:t>
      </w:r>
      <w:r w:rsidRPr="000B14DE">
        <w:rPr>
          <w:rFonts w:ascii="Garamond" w:hAnsi="Garamond"/>
          <w:color w:val="auto"/>
        </w:rPr>
        <w:t xml:space="preserve"> </w:t>
      </w:r>
      <w:r w:rsidRPr="000B14DE">
        <w:rPr>
          <w:rFonts w:ascii="Garamond" w:hAnsi="Garamond"/>
          <w:i/>
          <w:color w:val="auto"/>
        </w:rPr>
        <w:t>(2006).</w:t>
      </w:r>
      <w:r w:rsidRPr="000B14DE">
        <w:rPr>
          <w:rFonts w:ascii="Garamond" w:hAnsi="Garamond"/>
          <w:color w:val="auto"/>
        </w:rPr>
        <w:t xml:space="preserve"> Also published by the Department of Health is the </w:t>
      </w:r>
      <w:r w:rsidRPr="000B14DE">
        <w:rPr>
          <w:rFonts w:ascii="Garamond" w:hAnsi="Garamond"/>
          <w:i/>
          <w:color w:val="auto"/>
        </w:rPr>
        <w:t>Safe management of healthcare waste (2011)</w:t>
      </w:r>
      <w:r w:rsidRPr="000B14DE">
        <w:rPr>
          <w:rFonts w:ascii="Garamond" w:hAnsi="Garamond"/>
          <w:color w:val="auto"/>
        </w:rPr>
        <w:t>.</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The above documents provide detailed guidance on safe practise. They cover infection control, waste disposal, aftercare advice, record keeping, cleaning and decontaminations.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Other guidelines that covered advice on safe practise and were mainly based on the original document produced by the Chartered Institute of Environmental Health and Barbour Index, and the document produced by the Working Party of London Consultants in Communicable Disease Control and Community Infection Control Nurse were identified (see Appendix 5). The common themes in all of these guidelines are as below:</w:t>
      </w:r>
    </w:p>
    <w:p w:rsidR="000B14DE" w:rsidRPr="000B14DE" w:rsidRDefault="000B14DE" w:rsidP="00E61BB2">
      <w:pPr>
        <w:spacing w:line="360" w:lineRule="auto"/>
        <w:jc w:val="both"/>
        <w:rPr>
          <w:rFonts w:ascii="Garamond" w:hAnsi="Garamond"/>
          <w:color w:val="auto"/>
        </w:rPr>
      </w:pPr>
    </w:p>
    <w:p w:rsidR="00006F4D" w:rsidRPr="000B14DE" w:rsidRDefault="00006F4D" w:rsidP="00E61BB2">
      <w:pPr>
        <w:pStyle w:val="ListParagraph"/>
        <w:numPr>
          <w:ilvl w:val="0"/>
          <w:numId w:val="7"/>
        </w:numPr>
        <w:spacing w:line="360" w:lineRule="auto"/>
        <w:jc w:val="both"/>
        <w:rPr>
          <w:rFonts w:ascii="Garamond" w:hAnsi="Garamond"/>
          <w:color w:val="auto"/>
          <w:lang w:val="en-US"/>
        </w:rPr>
      </w:pPr>
      <w:r w:rsidRPr="000B14DE">
        <w:rPr>
          <w:rFonts w:ascii="Garamond" w:hAnsi="Garamond"/>
          <w:color w:val="auto"/>
          <w:lang w:val="en-US"/>
        </w:rPr>
        <w:t xml:space="preserve">Legal framework of body art practice </w:t>
      </w:r>
    </w:p>
    <w:p w:rsidR="00006F4D" w:rsidRPr="000B14DE" w:rsidRDefault="00006F4D" w:rsidP="00E61BB2">
      <w:pPr>
        <w:pStyle w:val="ListParagraph"/>
        <w:numPr>
          <w:ilvl w:val="0"/>
          <w:numId w:val="7"/>
        </w:numPr>
        <w:spacing w:line="360" w:lineRule="auto"/>
        <w:jc w:val="both"/>
        <w:rPr>
          <w:rFonts w:ascii="Garamond" w:hAnsi="Garamond"/>
          <w:color w:val="auto"/>
          <w:lang w:val="en-US"/>
        </w:rPr>
      </w:pPr>
      <w:r w:rsidRPr="000B14DE">
        <w:rPr>
          <w:rFonts w:ascii="Garamond" w:hAnsi="Garamond"/>
          <w:color w:val="auto"/>
          <w:lang w:val="en-US"/>
        </w:rPr>
        <w:t xml:space="preserve">Requirement of the premises </w:t>
      </w:r>
    </w:p>
    <w:p w:rsidR="00006F4D" w:rsidRPr="000B14DE" w:rsidRDefault="00006F4D" w:rsidP="00E61BB2">
      <w:pPr>
        <w:pStyle w:val="ListParagraph"/>
        <w:numPr>
          <w:ilvl w:val="0"/>
          <w:numId w:val="7"/>
        </w:numPr>
        <w:spacing w:line="360" w:lineRule="auto"/>
        <w:jc w:val="both"/>
        <w:rPr>
          <w:rFonts w:ascii="Garamond" w:hAnsi="Garamond"/>
          <w:color w:val="auto"/>
          <w:lang w:val="en-US"/>
        </w:rPr>
      </w:pPr>
      <w:r w:rsidRPr="000B14DE">
        <w:rPr>
          <w:rFonts w:ascii="Garamond" w:hAnsi="Garamond"/>
          <w:color w:val="auto"/>
          <w:lang w:val="en-US"/>
        </w:rPr>
        <w:t>Guidelines on safe practice and cleaning of the premises</w:t>
      </w:r>
    </w:p>
    <w:p w:rsidR="00006F4D" w:rsidRPr="000B14DE" w:rsidRDefault="00006F4D" w:rsidP="00E61BB2">
      <w:pPr>
        <w:pStyle w:val="ListParagraph"/>
        <w:numPr>
          <w:ilvl w:val="0"/>
          <w:numId w:val="7"/>
        </w:numPr>
        <w:spacing w:line="360" w:lineRule="auto"/>
        <w:jc w:val="both"/>
        <w:rPr>
          <w:rFonts w:ascii="Garamond" w:hAnsi="Garamond"/>
          <w:color w:val="auto"/>
          <w:lang w:val="en-US"/>
        </w:rPr>
      </w:pPr>
      <w:r w:rsidRPr="000B14DE">
        <w:rPr>
          <w:rFonts w:ascii="Garamond" w:hAnsi="Garamond"/>
          <w:color w:val="auto"/>
          <w:lang w:val="en-US"/>
        </w:rPr>
        <w:t xml:space="preserve">Guidelines on operator’s health </w:t>
      </w:r>
    </w:p>
    <w:p w:rsidR="00006F4D" w:rsidRPr="000B14DE" w:rsidRDefault="00006F4D" w:rsidP="00E61BB2">
      <w:pPr>
        <w:pStyle w:val="ListParagraph"/>
        <w:numPr>
          <w:ilvl w:val="0"/>
          <w:numId w:val="7"/>
        </w:numPr>
        <w:spacing w:line="360" w:lineRule="auto"/>
        <w:jc w:val="both"/>
        <w:rPr>
          <w:rFonts w:ascii="Garamond" w:hAnsi="Garamond"/>
          <w:color w:val="auto"/>
          <w:lang w:val="en-US"/>
        </w:rPr>
      </w:pPr>
      <w:r w:rsidRPr="000B14DE">
        <w:rPr>
          <w:rFonts w:ascii="Garamond" w:hAnsi="Garamond"/>
          <w:color w:val="auto"/>
          <w:lang w:val="en-US"/>
        </w:rPr>
        <w:t>Standard infection control precautions</w:t>
      </w:r>
    </w:p>
    <w:p w:rsidR="00006F4D" w:rsidRPr="000B14DE" w:rsidRDefault="00006F4D" w:rsidP="00E61BB2">
      <w:pPr>
        <w:pStyle w:val="ListParagraph"/>
        <w:numPr>
          <w:ilvl w:val="0"/>
          <w:numId w:val="7"/>
        </w:numPr>
        <w:spacing w:line="360" w:lineRule="auto"/>
        <w:jc w:val="both"/>
        <w:rPr>
          <w:rFonts w:ascii="Garamond" w:hAnsi="Garamond"/>
          <w:color w:val="auto"/>
          <w:lang w:val="en-US"/>
        </w:rPr>
      </w:pPr>
      <w:r w:rsidRPr="000B14DE">
        <w:rPr>
          <w:rFonts w:ascii="Garamond" w:hAnsi="Garamond"/>
          <w:color w:val="auto"/>
          <w:lang w:val="en-US"/>
        </w:rPr>
        <w:t>Guidelines on cleaning, disinfecting and sterilizing instruments</w:t>
      </w:r>
    </w:p>
    <w:p w:rsidR="00006F4D" w:rsidRPr="000B14DE" w:rsidRDefault="00006F4D" w:rsidP="00E61BB2">
      <w:pPr>
        <w:pStyle w:val="ListParagraph"/>
        <w:numPr>
          <w:ilvl w:val="0"/>
          <w:numId w:val="7"/>
        </w:numPr>
        <w:spacing w:line="360" w:lineRule="auto"/>
        <w:jc w:val="both"/>
        <w:rPr>
          <w:rFonts w:ascii="Garamond" w:hAnsi="Garamond"/>
          <w:color w:val="auto"/>
          <w:lang w:val="en-US"/>
        </w:rPr>
      </w:pPr>
      <w:r w:rsidRPr="000B14DE">
        <w:rPr>
          <w:rFonts w:ascii="Garamond" w:hAnsi="Garamond"/>
          <w:color w:val="auto"/>
          <w:lang w:val="en-US"/>
        </w:rPr>
        <w:t xml:space="preserve">Generic standard procedures </w:t>
      </w:r>
    </w:p>
    <w:p w:rsidR="00006F4D" w:rsidRDefault="00006F4D" w:rsidP="00E61BB2">
      <w:pPr>
        <w:spacing w:line="360" w:lineRule="auto"/>
        <w:jc w:val="both"/>
        <w:rPr>
          <w:rFonts w:ascii="Garamond" w:hAnsi="Garamond"/>
          <w:color w:val="auto"/>
        </w:rPr>
      </w:pPr>
    </w:p>
    <w:p w:rsidR="00FE4BD8" w:rsidRPr="000B14DE" w:rsidRDefault="00FE4BD8" w:rsidP="00E61BB2">
      <w:pPr>
        <w:spacing w:line="360" w:lineRule="auto"/>
        <w:jc w:val="both"/>
        <w:rPr>
          <w:rFonts w:ascii="Garamond" w:hAnsi="Garamond"/>
          <w:color w:val="auto"/>
        </w:rPr>
      </w:pPr>
      <w:r>
        <w:rPr>
          <w:rFonts w:ascii="Garamond" w:hAnsi="Garamond"/>
          <w:color w:val="auto"/>
        </w:rPr>
        <w:t xml:space="preserve">Local authorities </w:t>
      </w:r>
      <w:r w:rsidRPr="00FE4BD8">
        <w:rPr>
          <w:rFonts w:ascii="Garamond" w:hAnsi="Garamond"/>
          <w:color w:val="auto"/>
        </w:rPr>
        <w:t xml:space="preserve">also publish information for </w:t>
      </w:r>
      <w:r>
        <w:rPr>
          <w:rFonts w:ascii="Garamond" w:hAnsi="Garamond"/>
          <w:color w:val="auto"/>
        </w:rPr>
        <w:t xml:space="preserve">practitioners and </w:t>
      </w:r>
      <w:r w:rsidRPr="00FE4BD8">
        <w:rPr>
          <w:rFonts w:ascii="Garamond" w:hAnsi="Garamond"/>
          <w:color w:val="auto"/>
        </w:rPr>
        <w:t>the public about the risks of tattooing</w:t>
      </w:r>
      <w:r w:rsidR="00EB4738">
        <w:rPr>
          <w:rFonts w:ascii="Garamond" w:hAnsi="Garamond"/>
          <w:color w:val="auto"/>
        </w:rPr>
        <w:t>.</w:t>
      </w:r>
    </w:p>
    <w:p w:rsidR="00006F4D" w:rsidRPr="000B14DE" w:rsidRDefault="00006F4D" w:rsidP="007D20B7">
      <w:pPr>
        <w:pStyle w:val="Heading1"/>
        <w:spacing w:line="480" w:lineRule="auto"/>
        <w:rPr>
          <w:rFonts w:ascii="Garamond" w:hAnsi="Garamond"/>
        </w:rPr>
      </w:pPr>
      <w:bookmarkStart w:id="25" w:name="_Toc325554595"/>
      <w:r w:rsidRPr="000B14DE">
        <w:rPr>
          <w:rFonts w:ascii="Garamond" w:hAnsi="Garamond"/>
        </w:rPr>
        <w:t>Guidelines in other countries</w:t>
      </w:r>
      <w:bookmarkEnd w:id="25"/>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Only guidelines that were available online and in English were retrieved and reviewed. These guidelines were from Northern Ireland, Wales, Scotland, Australia, New Zealand and Canada. The themes from these guidelines are as highlighted below:</w:t>
      </w:r>
    </w:p>
    <w:p w:rsidR="00006F4D" w:rsidRPr="000B14DE" w:rsidRDefault="00006F4D" w:rsidP="007D20B7">
      <w:pPr>
        <w:pStyle w:val="Heading2"/>
        <w:spacing w:line="360" w:lineRule="auto"/>
        <w:rPr>
          <w:rFonts w:ascii="Garamond" w:hAnsi="Garamond"/>
        </w:rPr>
      </w:pPr>
      <w:bookmarkStart w:id="26" w:name="_Toc325554596"/>
      <w:r w:rsidRPr="000B14DE">
        <w:rPr>
          <w:rFonts w:ascii="Garamond" w:hAnsi="Garamond"/>
        </w:rPr>
        <w:t xml:space="preserve">Northern Ireland </w:t>
      </w:r>
      <w:r w:rsidR="00B57DBB" w:rsidRPr="00B57DBB">
        <w:rPr>
          <w:rFonts w:ascii="Garamond" w:hAnsi="Garamond"/>
          <w:b w:val="0"/>
          <w:sz w:val="24"/>
          <w:szCs w:val="24"/>
        </w:rPr>
        <w:t>(Belfast City Council, 2011)</w:t>
      </w:r>
      <w:bookmarkEnd w:id="26"/>
    </w:p>
    <w:p w:rsidR="00006F4D" w:rsidRPr="000B14DE" w:rsidRDefault="00006F4D" w:rsidP="00E61BB2">
      <w:pPr>
        <w:pStyle w:val="ListParagraph"/>
        <w:numPr>
          <w:ilvl w:val="0"/>
          <w:numId w:val="13"/>
        </w:numPr>
        <w:spacing w:line="360" w:lineRule="auto"/>
        <w:jc w:val="both"/>
        <w:rPr>
          <w:rFonts w:ascii="Garamond" w:hAnsi="Garamond"/>
          <w:bCs/>
          <w:color w:val="auto"/>
        </w:rPr>
      </w:pPr>
      <w:r w:rsidRPr="000B14DE">
        <w:rPr>
          <w:rFonts w:ascii="Garamond" w:hAnsi="Garamond"/>
          <w:bCs/>
          <w:color w:val="auto"/>
        </w:rPr>
        <w:t>Tattooing of minors</w:t>
      </w:r>
    </w:p>
    <w:p w:rsidR="00006F4D" w:rsidRPr="000B14DE" w:rsidRDefault="00006F4D" w:rsidP="007C7326">
      <w:pPr>
        <w:pStyle w:val="ListParagraph"/>
        <w:numPr>
          <w:ilvl w:val="0"/>
          <w:numId w:val="13"/>
        </w:numPr>
        <w:spacing w:line="360" w:lineRule="auto"/>
        <w:jc w:val="both"/>
        <w:rPr>
          <w:rFonts w:ascii="Garamond" w:hAnsi="Garamond"/>
          <w:bCs/>
          <w:color w:val="auto"/>
        </w:rPr>
      </w:pPr>
      <w:r w:rsidRPr="000B14DE">
        <w:rPr>
          <w:rFonts w:ascii="Garamond" w:hAnsi="Garamond"/>
          <w:bCs/>
          <w:color w:val="auto"/>
        </w:rPr>
        <w:t>Client health, pre-treatment warnings, consent of client and record-keeping</w:t>
      </w:r>
    </w:p>
    <w:p w:rsidR="00006F4D" w:rsidRPr="000B14DE" w:rsidRDefault="00006F4D" w:rsidP="00E61BB2">
      <w:pPr>
        <w:pStyle w:val="ListParagraph"/>
        <w:numPr>
          <w:ilvl w:val="0"/>
          <w:numId w:val="13"/>
        </w:numPr>
        <w:spacing w:line="360" w:lineRule="auto"/>
        <w:jc w:val="both"/>
        <w:rPr>
          <w:rFonts w:ascii="Garamond" w:hAnsi="Garamond"/>
          <w:bCs/>
          <w:color w:val="auto"/>
        </w:rPr>
      </w:pPr>
      <w:r w:rsidRPr="000B14DE">
        <w:rPr>
          <w:rFonts w:ascii="Garamond" w:hAnsi="Garamond"/>
          <w:bCs/>
          <w:color w:val="auto"/>
        </w:rPr>
        <w:t>Hygiene of premises and treatment areas</w:t>
      </w:r>
    </w:p>
    <w:p w:rsidR="00006F4D" w:rsidRPr="000B14DE" w:rsidRDefault="00006F4D" w:rsidP="00E61BB2">
      <w:pPr>
        <w:pStyle w:val="ListParagraph"/>
        <w:numPr>
          <w:ilvl w:val="0"/>
          <w:numId w:val="13"/>
        </w:numPr>
        <w:spacing w:line="360" w:lineRule="auto"/>
        <w:jc w:val="both"/>
        <w:rPr>
          <w:rFonts w:ascii="Garamond" w:hAnsi="Garamond"/>
          <w:bCs/>
          <w:color w:val="auto"/>
        </w:rPr>
      </w:pPr>
      <w:r w:rsidRPr="000B14DE">
        <w:rPr>
          <w:rFonts w:ascii="Garamond" w:hAnsi="Garamond"/>
          <w:bCs/>
          <w:color w:val="auto"/>
        </w:rPr>
        <w:t>Hygiene of equipment</w:t>
      </w:r>
    </w:p>
    <w:p w:rsidR="00006F4D" w:rsidRPr="000B14DE" w:rsidRDefault="00006F4D" w:rsidP="007C7326">
      <w:pPr>
        <w:pStyle w:val="ListParagraph"/>
        <w:numPr>
          <w:ilvl w:val="0"/>
          <w:numId w:val="13"/>
        </w:numPr>
        <w:spacing w:line="360" w:lineRule="auto"/>
        <w:jc w:val="both"/>
        <w:rPr>
          <w:rFonts w:ascii="Garamond" w:hAnsi="Garamond"/>
          <w:bCs/>
          <w:color w:val="auto"/>
        </w:rPr>
      </w:pPr>
      <w:r w:rsidRPr="000B14DE">
        <w:rPr>
          <w:rFonts w:ascii="Garamond" w:hAnsi="Garamond"/>
          <w:bCs/>
          <w:color w:val="auto"/>
        </w:rPr>
        <w:t xml:space="preserve">Hygiene of tattooists and Immunization. </w:t>
      </w:r>
    </w:p>
    <w:p w:rsidR="00006F4D" w:rsidRPr="000B14DE" w:rsidRDefault="00006F4D" w:rsidP="00E61BB2">
      <w:pPr>
        <w:pStyle w:val="ListParagraph"/>
        <w:numPr>
          <w:ilvl w:val="0"/>
          <w:numId w:val="13"/>
        </w:numPr>
        <w:spacing w:line="360" w:lineRule="auto"/>
        <w:jc w:val="both"/>
        <w:rPr>
          <w:rFonts w:ascii="Garamond" w:hAnsi="Garamond"/>
          <w:bCs/>
          <w:color w:val="auto"/>
        </w:rPr>
      </w:pPr>
      <w:r w:rsidRPr="000B14DE">
        <w:rPr>
          <w:rFonts w:ascii="Garamond" w:hAnsi="Garamond"/>
          <w:bCs/>
          <w:color w:val="auto"/>
        </w:rPr>
        <w:t xml:space="preserve">Aftercare advice </w:t>
      </w:r>
    </w:p>
    <w:p w:rsidR="00006F4D" w:rsidRPr="000B14DE" w:rsidRDefault="00006F4D" w:rsidP="00E61BB2">
      <w:pPr>
        <w:pStyle w:val="ListParagraph"/>
        <w:numPr>
          <w:ilvl w:val="0"/>
          <w:numId w:val="13"/>
        </w:numPr>
        <w:spacing w:line="360" w:lineRule="auto"/>
        <w:jc w:val="both"/>
        <w:rPr>
          <w:rFonts w:ascii="Garamond" w:hAnsi="Garamond"/>
          <w:bCs/>
          <w:color w:val="auto"/>
        </w:rPr>
      </w:pPr>
      <w:r w:rsidRPr="000B14DE">
        <w:rPr>
          <w:rFonts w:ascii="Garamond" w:hAnsi="Garamond"/>
          <w:bCs/>
          <w:color w:val="auto"/>
        </w:rPr>
        <w:t>Waste disposal</w:t>
      </w:r>
    </w:p>
    <w:p w:rsidR="00006F4D" w:rsidRPr="000B14DE" w:rsidRDefault="00006F4D" w:rsidP="00771F0A">
      <w:pPr>
        <w:pStyle w:val="ListParagraph"/>
        <w:numPr>
          <w:ilvl w:val="0"/>
          <w:numId w:val="13"/>
        </w:numPr>
        <w:spacing w:line="360" w:lineRule="auto"/>
        <w:jc w:val="both"/>
        <w:rPr>
          <w:rFonts w:ascii="Garamond" w:hAnsi="Garamond"/>
          <w:bCs/>
          <w:color w:val="auto"/>
        </w:rPr>
      </w:pPr>
      <w:r w:rsidRPr="000B14DE">
        <w:rPr>
          <w:rFonts w:ascii="Garamond" w:hAnsi="Garamond"/>
          <w:bCs/>
          <w:color w:val="auto"/>
        </w:rPr>
        <w:t>First aid</w:t>
      </w:r>
    </w:p>
    <w:p w:rsidR="00006F4D" w:rsidRPr="000B14DE" w:rsidRDefault="00006F4D" w:rsidP="000B14DE">
      <w:pPr>
        <w:pStyle w:val="ListParagraph"/>
        <w:numPr>
          <w:ilvl w:val="0"/>
          <w:numId w:val="13"/>
        </w:numPr>
        <w:spacing w:line="360" w:lineRule="auto"/>
        <w:jc w:val="both"/>
        <w:rPr>
          <w:rFonts w:ascii="Garamond" w:hAnsi="Garamond"/>
          <w:bCs/>
          <w:color w:val="auto"/>
        </w:rPr>
      </w:pPr>
      <w:r w:rsidRPr="000B14DE">
        <w:rPr>
          <w:rFonts w:ascii="Garamond" w:hAnsi="Garamond" w:cs="Arial"/>
          <w:color w:val="333333"/>
        </w:rPr>
        <w:t>Useful contacts</w:t>
      </w:r>
    </w:p>
    <w:p w:rsidR="00006F4D" w:rsidRPr="000B14DE" w:rsidRDefault="00B57DBB" w:rsidP="007D20B7">
      <w:pPr>
        <w:pStyle w:val="Heading2"/>
        <w:spacing w:line="360" w:lineRule="auto"/>
        <w:rPr>
          <w:rFonts w:ascii="Garamond" w:hAnsi="Garamond"/>
        </w:rPr>
      </w:pPr>
      <w:bookmarkStart w:id="27" w:name="_Toc325554597"/>
      <w:r>
        <w:rPr>
          <w:rFonts w:ascii="Garamond" w:hAnsi="Garamond"/>
        </w:rPr>
        <w:t xml:space="preserve">Wales </w:t>
      </w:r>
      <w:r w:rsidR="00006F4D" w:rsidRPr="000B14DE">
        <w:rPr>
          <w:rFonts w:ascii="Garamond" w:hAnsi="Garamond"/>
        </w:rPr>
        <w:t>Model Bye law</w:t>
      </w:r>
      <w:r w:rsidRPr="00B57DBB">
        <w:rPr>
          <w:rFonts w:ascii="Garamond" w:hAnsi="Garamond"/>
        </w:rPr>
        <w:t xml:space="preserve"> </w:t>
      </w:r>
      <w:r w:rsidRPr="00B57DBB">
        <w:rPr>
          <w:rFonts w:ascii="Garamond" w:hAnsi="Garamond"/>
          <w:b w:val="0"/>
          <w:sz w:val="24"/>
          <w:szCs w:val="24"/>
        </w:rPr>
        <w:t>(Welsh Government, 2011</w:t>
      </w:r>
      <w:r w:rsidR="00006F4D" w:rsidRPr="00B57DBB">
        <w:rPr>
          <w:rFonts w:ascii="Garamond" w:hAnsi="Garamond"/>
          <w:b w:val="0"/>
          <w:sz w:val="24"/>
          <w:szCs w:val="24"/>
        </w:rPr>
        <w:t>)</w:t>
      </w:r>
      <w:bookmarkEnd w:id="27"/>
      <w:r w:rsidR="00006F4D" w:rsidRPr="000B14DE">
        <w:rPr>
          <w:rFonts w:ascii="Garamond" w:hAnsi="Garamond"/>
        </w:rPr>
        <w:t xml:space="preserve"> </w:t>
      </w:r>
    </w:p>
    <w:p w:rsidR="00006F4D" w:rsidRPr="000B14DE" w:rsidRDefault="00006F4D" w:rsidP="00771F0A">
      <w:pPr>
        <w:pStyle w:val="ListParagraph"/>
        <w:numPr>
          <w:ilvl w:val="0"/>
          <w:numId w:val="14"/>
        </w:numPr>
        <w:spacing w:line="360" w:lineRule="auto"/>
        <w:jc w:val="both"/>
        <w:rPr>
          <w:rFonts w:ascii="Garamond" w:hAnsi="Garamond"/>
          <w:color w:val="auto"/>
        </w:rPr>
      </w:pPr>
      <w:r w:rsidRPr="000B14DE">
        <w:rPr>
          <w:rFonts w:ascii="Garamond" w:hAnsi="Garamond"/>
          <w:color w:val="auto"/>
        </w:rPr>
        <w:t>Cleanliness of premises and fittings</w:t>
      </w:r>
    </w:p>
    <w:p w:rsidR="00006F4D" w:rsidRPr="000B14DE" w:rsidRDefault="00006F4D" w:rsidP="00771F0A">
      <w:pPr>
        <w:pStyle w:val="ListParagraph"/>
        <w:numPr>
          <w:ilvl w:val="0"/>
          <w:numId w:val="14"/>
        </w:numPr>
        <w:spacing w:line="360" w:lineRule="auto"/>
        <w:jc w:val="both"/>
        <w:rPr>
          <w:rFonts w:ascii="Garamond" w:hAnsi="Garamond"/>
          <w:color w:val="auto"/>
        </w:rPr>
      </w:pPr>
      <w:r w:rsidRPr="000B14DE">
        <w:rPr>
          <w:rFonts w:ascii="Garamond" w:hAnsi="Garamond"/>
          <w:color w:val="auto"/>
        </w:rPr>
        <w:t>Cleansing and so far as is appropriate, the sterilization of needles, instruments, jewellery, materials and equipment</w:t>
      </w:r>
    </w:p>
    <w:p w:rsidR="00006F4D" w:rsidRPr="000B14DE" w:rsidRDefault="00006F4D" w:rsidP="00E61BB2">
      <w:pPr>
        <w:pStyle w:val="ListParagraph"/>
        <w:numPr>
          <w:ilvl w:val="0"/>
          <w:numId w:val="14"/>
        </w:numPr>
        <w:spacing w:line="360" w:lineRule="auto"/>
        <w:jc w:val="both"/>
        <w:rPr>
          <w:rFonts w:ascii="Garamond" w:hAnsi="Garamond"/>
          <w:color w:val="auto"/>
        </w:rPr>
      </w:pPr>
      <w:r w:rsidRPr="000B14DE">
        <w:rPr>
          <w:rFonts w:ascii="Garamond" w:hAnsi="Garamond"/>
          <w:color w:val="auto"/>
        </w:rPr>
        <w:t>Cleanliness of operators</w:t>
      </w:r>
    </w:p>
    <w:p w:rsidR="00006F4D" w:rsidRPr="000B14DE" w:rsidRDefault="00006F4D" w:rsidP="007D20B7">
      <w:pPr>
        <w:pStyle w:val="Heading2"/>
        <w:spacing w:line="360" w:lineRule="auto"/>
        <w:rPr>
          <w:rFonts w:ascii="Garamond" w:hAnsi="Garamond"/>
        </w:rPr>
      </w:pPr>
      <w:bookmarkStart w:id="28" w:name="_Toc325554598"/>
      <w:r w:rsidRPr="000B14DE">
        <w:rPr>
          <w:rFonts w:ascii="Garamond" w:hAnsi="Garamond"/>
        </w:rPr>
        <w:t>Scotland</w:t>
      </w:r>
      <w:r w:rsidR="00B57DBB" w:rsidRPr="00B57DBB">
        <w:rPr>
          <w:rFonts w:ascii="Garamond" w:hAnsi="Garamond"/>
          <w:sz w:val="20"/>
          <w:szCs w:val="20"/>
        </w:rPr>
        <w:t xml:space="preserve"> </w:t>
      </w:r>
      <w:r w:rsidR="00B57DBB" w:rsidRPr="00B57DBB">
        <w:rPr>
          <w:rFonts w:ascii="Garamond" w:hAnsi="Garamond"/>
          <w:b w:val="0"/>
          <w:sz w:val="24"/>
          <w:szCs w:val="24"/>
        </w:rPr>
        <w:t>(Health Protection Scotland and the Royal Environmental Health Institute of Scotland,</w:t>
      </w:r>
      <w:r w:rsidR="00B57DBB" w:rsidRPr="00B57DBB">
        <w:rPr>
          <w:rFonts w:ascii="Garamond" w:hAnsi="Garamond"/>
          <w:b w:val="0"/>
          <w:i/>
          <w:sz w:val="24"/>
          <w:szCs w:val="24"/>
        </w:rPr>
        <w:t xml:space="preserve"> 2011)</w:t>
      </w:r>
      <w:bookmarkEnd w:id="28"/>
      <w:r w:rsidR="00B57DBB">
        <w:rPr>
          <w:rFonts w:ascii="Garamond" w:hAnsi="Garamond"/>
        </w:rPr>
        <w:t xml:space="preserve">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The Scottish guideline was produced in December 2011 to guide regulators on how to implement the Scottish Body Piercing and Tattoo Regulatory Order of 2006. It also provides information on good practises. The themes covered were:</w:t>
      </w:r>
    </w:p>
    <w:p w:rsidR="00006F4D" w:rsidRPr="000B14DE" w:rsidRDefault="00006F4D" w:rsidP="00E61BB2">
      <w:pPr>
        <w:pStyle w:val="ListParagraph"/>
        <w:numPr>
          <w:ilvl w:val="0"/>
          <w:numId w:val="3"/>
        </w:numPr>
        <w:spacing w:line="360" w:lineRule="auto"/>
        <w:jc w:val="both"/>
        <w:rPr>
          <w:rFonts w:ascii="Garamond" w:hAnsi="Garamond"/>
          <w:color w:val="auto"/>
        </w:rPr>
      </w:pPr>
      <w:r w:rsidRPr="000B14DE">
        <w:rPr>
          <w:rFonts w:ascii="Garamond" w:hAnsi="Garamond"/>
          <w:color w:val="auto"/>
        </w:rPr>
        <w:t>Cleaning, disinfection and sterilisation arrangements</w:t>
      </w:r>
    </w:p>
    <w:p w:rsidR="00006F4D" w:rsidRPr="000B14DE" w:rsidRDefault="00006F4D" w:rsidP="00E61BB2">
      <w:pPr>
        <w:pStyle w:val="ListParagraph"/>
        <w:numPr>
          <w:ilvl w:val="0"/>
          <w:numId w:val="3"/>
        </w:numPr>
        <w:spacing w:line="360" w:lineRule="auto"/>
        <w:jc w:val="both"/>
        <w:rPr>
          <w:rFonts w:ascii="Garamond" w:hAnsi="Garamond"/>
          <w:color w:val="auto"/>
        </w:rPr>
      </w:pPr>
      <w:r w:rsidRPr="000B14DE">
        <w:rPr>
          <w:rFonts w:ascii="Garamond" w:hAnsi="Garamond"/>
          <w:color w:val="auto"/>
        </w:rPr>
        <w:t>Arrangements for waste and sharps disposal</w:t>
      </w:r>
    </w:p>
    <w:p w:rsidR="00006F4D" w:rsidRPr="000B14DE" w:rsidRDefault="00006F4D" w:rsidP="00E61BB2">
      <w:pPr>
        <w:pStyle w:val="ListParagraph"/>
        <w:numPr>
          <w:ilvl w:val="0"/>
          <w:numId w:val="3"/>
        </w:numPr>
        <w:spacing w:line="360" w:lineRule="auto"/>
        <w:jc w:val="both"/>
        <w:rPr>
          <w:rFonts w:ascii="Garamond" w:hAnsi="Garamond"/>
          <w:color w:val="auto"/>
        </w:rPr>
      </w:pPr>
      <w:r w:rsidRPr="000B14DE">
        <w:rPr>
          <w:rFonts w:ascii="Garamond" w:hAnsi="Garamond"/>
          <w:color w:val="auto"/>
        </w:rPr>
        <w:t>Operator and equipment requirements</w:t>
      </w:r>
    </w:p>
    <w:p w:rsidR="00006F4D" w:rsidRPr="000B14DE" w:rsidRDefault="00006F4D" w:rsidP="00E61BB2">
      <w:pPr>
        <w:pStyle w:val="ListParagraph"/>
        <w:numPr>
          <w:ilvl w:val="0"/>
          <w:numId w:val="3"/>
        </w:numPr>
        <w:spacing w:line="360" w:lineRule="auto"/>
        <w:jc w:val="both"/>
        <w:rPr>
          <w:rFonts w:ascii="Garamond" w:hAnsi="Garamond"/>
          <w:color w:val="auto"/>
        </w:rPr>
      </w:pPr>
      <w:r w:rsidRPr="000B14DE">
        <w:rPr>
          <w:rFonts w:ascii="Garamond" w:hAnsi="Garamond"/>
          <w:color w:val="auto"/>
        </w:rPr>
        <w:t>Client information, consent forms and record keeping</w:t>
      </w:r>
    </w:p>
    <w:p w:rsidR="00006F4D" w:rsidRPr="000B14DE" w:rsidRDefault="00006F4D" w:rsidP="00E61BB2">
      <w:pPr>
        <w:pStyle w:val="ListParagraph"/>
        <w:numPr>
          <w:ilvl w:val="0"/>
          <w:numId w:val="3"/>
        </w:numPr>
        <w:spacing w:line="360" w:lineRule="auto"/>
        <w:jc w:val="both"/>
        <w:rPr>
          <w:rFonts w:ascii="Garamond" w:hAnsi="Garamond"/>
          <w:color w:val="auto"/>
        </w:rPr>
      </w:pPr>
      <w:r w:rsidRPr="000B14DE">
        <w:rPr>
          <w:rFonts w:ascii="Garamond" w:hAnsi="Garamond"/>
          <w:color w:val="auto"/>
        </w:rPr>
        <w:t>Treatment area and waiting area requirements</w:t>
      </w:r>
    </w:p>
    <w:p w:rsidR="002F6805" w:rsidRPr="00925240" w:rsidRDefault="00006F4D" w:rsidP="00925240">
      <w:pPr>
        <w:pStyle w:val="ListParagraph"/>
        <w:numPr>
          <w:ilvl w:val="0"/>
          <w:numId w:val="3"/>
        </w:numPr>
        <w:spacing w:line="360" w:lineRule="auto"/>
        <w:jc w:val="both"/>
        <w:rPr>
          <w:rFonts w:ascii="Garamond" w:hAnsi="Garamond"/>
          <w:color w:val="auto"/>
        </w:rPr>
      </w:pPr>
      <w:r w:rsidRPr="000B14DE">
        <w:rPr>
          <w:rFonts w:ascii="Garamond" w:hAnsi="Garamond"/>
          <w:color w:val="auto"/>
        </w:rPr>
        <w:t>General state of repair of the premises</w:t>
      </w:r>
    </w:p>
    <w:p w:rsidR="00006F4D" w:rsidRPr="000B14DE" w:rsidRDefault="00006F4D" w:rsidP="007D20B7">
      <w:pPr>
        <w:pStyle w:val="Heading2"/>
        <w:spacing w:line="360" w:lineRule="auto"/>
        <w:rPr>
          <w:rFonts w:ascii="Garamond" w:hAnsi="Garamond"/>
        </w:rPr>
      </w:pPr>
      <w:bookmarkStart w:id="29" w:name="_Toc325554599"/>
      <w:r w:rsidRPr="000B14DE">
        <w:rPr>
          <w:rFonts w:ascii="Garamond" w:hAnsi="Garamond"/>
        </w:rPr>
        <w:t>Australia</w:t>
      </w:r>
      <w:r w:rsidR="00B57DBB">
        <w:rPr>
          <w:rFonts w:ascii="Garamond" w:hAnsi="Garamond"/>
        </w:rPr>
        <w:t xml:space="preserve"> </w:t>
      </w:r>
      <w:r w:rsidR="00B57DBB" w:rsidRPr="00B57DBB">
        <w:rPr>
          <w:rFonts w:ascii="Garamond" w:hAnsi="Garamond"/>
          <w:b w:val="0"/>
          <w:sz w:val="24"/>
          <w:szCs w:val="24"/>
        </w:rPr>
        <w:t>(Australian Capital Territory Health,</w:t>
      </w:r>
      <w:r w:rsidR="00B57DBB" w:rsidRPr="00B57DBB">
        <w:rPr>
          <w:rFonts w:ascii="Garamond" w:hAnsi="Garamond"/>
          <w:b w:val="0"/>
          <w:i/>
          <w:sz w:val="24"/>
          <w:szCs w:val="24"/>
        </w:rPr>
        <w:t xml:space="preserve"> 2006;</w:t>
      </w:r>
      <w:r w:rsidR="00B57DBB" w:rsidRPr="00B57DBB">
        <w:rPr>
          <w:rFonts w:ascii="Garamond" w:hAnsi="Garamond"/>
          <w:b w:val="0"/>
          <w:sz w:val="24"/>
          <w:szCs w:val="24"/>
        </w:rPr>
        <w:t xml:space="preserve"> Queensland Government, </w:t>
      </w:r>
      <w:r w:rsidR="00B57DBB" w:rsidRPr="00B57DBB">
        <w:rPr>
          <w:rFonts w:ascii="Garamond" w:hAnsi="Garamond"/>
          <w:b w:val="0"/>
          <w:i/>
          <w:sz w:val="24"/>
          <w:szCs w:val="24"/>
        </w:rPr>
        <w:t>2007)</w:t>
      </w:r>
      <w:bookmarkEnd w:id="29"/>
    </w:p>
    <w:p w:rsidR="00006F4D" w:rsidRPr="000B14DE" w:rsidRDefault="00006F4D" w:rsidP="00E61BB2">
      <w:pPr>
        <w:spacing w:line="360" w:lineRule="auto"/>
        <w:jc w:val="both"/>
        <w:rPr>
          <w:rFonts w:ascii="Garamond" w:hAnsi="Garamond"/>
          <w:color w:val="auto"/>
          <w:lang w:val="en-US"/>
        </w:rPr>
      </w:pPr>
      <w:r w:rsidRPr="000B14DE">
        <w:rPr>
          <w:rFonts w:ascii="Garamond" w:hAnsi="Garamond"/>
          <w:color w:val="auto"/>
          <w:lang w:val="en-US"/>
        </w:rPr>
        <w:t>There are varying guidelines across the states of Australia; however the guidelines cover many infection control practices, this includes:</w:t>
      </w:r>
    </w:p>
    <w:p w:rsidR="00006F4D" w:rsidRPr="000B14DE" w:rsidRDefault="00006F4D" w:rsidP="00E61BB2">
      <w:pPr>
        <w:pStyle w:val="ListParagraph"/>
        <w:numPr>
          <w:ilvl w:val="0"/>
          <w:numId w:val="4"/>
        </w:numPr>
        <w:spacing w:line="360" w:lineRule="auto"/>
        <w:jc w:val="both"/>
        <w:rPr>
          <w:rFonts w:ascii="Garamond" w:hAnsi="Garamond"/>
          <w:color w:val="auto"/>
          <w:lang w:val="en-US"/>
        </w:rPr>
      </w:pPr>
      <w:r w:rsidRPr="000B14DE">
        <w:rPr>
          <w:rFonts w:ascii="Garamond" w:hAnsi="Garamond"/>
          <w:color w:val="auto"/>
          <w:lang w:val="en-US"/>
        </w:rPr>
        <w:t xml:space="preserve">Provision of written “after care” advice; </w:t>
      </w:r>
    </w:p>
    <w:p w:rsidR="00006F4D" w:rsidRPr="000B14DE" w:rsidRDefault="00006F4D" w:rsidP="00E61BB2">
      <w:pPr>
        <w:pStyle w:val="ListParagraph"/>
        <w:numPr>
          <w:ilvl w:val="0"/>
          <w:numId w:val="4"/>
        </w:numPr>
        <w:spacing w:line="360" w:lineRule="auto"/>
        <w:jc w:val="both"/>
        <w:rPr>
          <w:rFonts w:ascii="Garamond" w:hAnsi="Garamond"/>
          <w:color w:val="auto"/>
          <w:lang w:val="en-US"/>
        </w:rPr>
      </w:pPr>
      <w:r w:rsidRPr="000B14DE">
        <w:rPr>
          <w:rFonts w:ascii="Garamond" w:hAnsi="Garamond"/>
          <w:color w:val="auto"/>
          <w:lang w:val="en-US"/>
        </w:rPr>
        <w:t xml:space="preserve">Use of single use and reusable equipment; </w:t>
      </w:r>
    </w:p>
    <w:p w:rsidR="00006F4D" w:rsidRPr="000B14DE" w:rsidRDefault="00006F4D" w:rsidP="00E61BB2">
      <w:pPr>
        <w:pStyle w:val="ListParagraph"/>
        <w:numPr>
          <w:ilvl w:val="0"/>
          <w:numId w:val="4"/>
        </w:numPr>
        <w:spacing w:line="360" w:lineRule="auto"/>
        <w:jc w:val="both"/>
        <w:rPr>
          <w:rFonts w:ascii="Garamond" w:hAnsi="Garamond"/>
          <w:color w:val="auto"/>
          <w:lang w:val="en-US"/>
        </w:rPr>
      </w:pPr>
      <w:r w:rsidRPr="000B14DE">
        <w:rPr>
          <w:rFonts w:ascii="Garamond" w:hAnsi="Garamond"/>
          <w:color w:val="auto"/>
          <w:lang w:val="en-US"/>
        </w:rPr>
        <w:t xml:space="preserve">Premises construction; </w:t>
      </w:r>
    </w:p>
    <w:p w:rsidR="00006F4D" w:rsidRPr="000B14DE" w:rsidRDefault="00006F4D" w:rsidP="00E61BB2">
      <w:pPr>
        <w:pStyle w:val="ListParagraph"/>
        <w:numPr>
          <w:ilvl w:val="0"/>
          <w:numId w:val="4"/>
        </w:numPr>
        <w:spacing w:line="360" w:lineRule="auto"/>
        <w:jc w:val="both"/>
        <w:rPr>
          <w:rFonts w:ascii="Garamond" w:hAnsi="Garamond"/>
          <w:color w:val="auto"/>
          <w:lang w:val="en-US"/>
        </w:rPr>
      </w:pPr>
      <w:r w:rsidRPr="000B14DE">
        <w:rPr>
          <w:rFonts w:ascii="Garamond" w:hAnsi="Garamond"/>
          <w:color w:val="auto"/>
          <w:lang w:val="en-US"/>
        </w:rPr>
        <w:t>Handling and disposal of sharps and clinical wastes;</w:t>
      </w:r>
    </w:p>
    <w:p w:rsidR="00006F4D" w:rsidRPr="000B14DE" w:rsidRDefault="00006F4D" w:rsidP="00E61BB2">
      <w:pPr>
        <w:pStyle w:val="ListParagraph"/>
        <w:numPr>
          <w:ilvl w:val="0"/>
          <w:numId w:val="4"/>
        </w:numPr>
        <w:spacing w:line="360" w:lineRule="auto"/>
        <w:jc w:val="both"/>
        <w:rPr>
          <w:rFonts w:ascii="Garamond" w:hAnsi="Garamond"/>
          <w:color w:val="auto"/>
          <w:lang w:val="en-US"/>
        </w:rPr>
      </w:pPr>
      <w:r w:rsidRPr="000B14DE">
        <w:rPr>
          <w:rFonts w:ascii="Garamond" w:hAnsi="Garamond"/>
          <w:color w:val="auto"/>
          <w:lang w:val="en-US"/>
        </w:rPr>
        <w:t xml:space="preserve">Personal protective equipment and immunization; </w:t>
      </w:r>
    </w:p>
    <w:p w:rsidR="00006F4D" w:rsidRPr="000B14DE" w:rsidRDefault="00006F4D" w:rsidP="00E61BB2">
      <w:pPr>
        <w:pStyle w:val="ListParagraph"/>
        <w:numPr>
          <w:ilvl w:val="0"/>
          <w:numId w:val="4"/>
        </w:numPr>
        <w:spacing w:line="360" w:lineRule="auto"/>
        <w:jc w:val="both"/>
        <w:rPr>
          <w:rFonts w:ascii="Garamond" w:hAnsi="Garamond"/>
          <w:color w:val="auto"/>
          <w:lang w:val="fr-FR"/>
        </w:rPr>
      </w:pPr>
      <w:r w:rsidRPr="000B14DE">
        <w:rPr>
          <w:rFonts w:ascii="Garamond" w:hAnsi="Garamond"/>
          <w:color w:val="auto"/>
          <w:lang w:val="fr-FR"/>
        </w:rPr>
        <w:t xml:space="preserve">Aseptic technique and skin disinfectants; </w:t>
      </w:r>
    </w:p>
    <w:p w:rsidR="00006F4D" w:rsidRPr="000B14DE" w:rsidRDefault="00006F4D" w:rsidP="00E61BB2">
      <w:pPr>
        <w:pStyle w:val="ListParagraph"/>
        <w:numPr>
          <w:ilvl w:val="0"/>
          <w:numId w:val="4"/>
        </w:numPr>
        <w:spacing w:line="360" w:lineRule="auto"/>
        <w:jc w:val="both"/>
        <w:rPr>
          <w:rFonts w:ascii="Garamond" w:hAnsi="Garamond"/>
          <w:color w:val="auto"/>
          <w:lang w:val="en-US"/>
        </w:rPr>
      </w:pPr>
      <w:r w:rsidRPr="000B14DE">
        <w:rPr>
          <w:rFonts w:ascii="Garamond" w:hAnsi="Garamond"/>
          <w:color w:val="auto"/>
          <w:lang w:val="en-US"/>
        </w:rPr>
        <w:t>Environmental cleaning including dealing with blood and body substance spills.</w:t>
      </w:r>
    </w:p>
    <w:p w:rsidR="00006F4D" w:rsidRPr="00925240" w:rsidRDefault="00006F4D" w:rsidP="00E61BB2">
      <w:pPr>
        <w:pStyle w:val="ListParagraph"/>
        <w:numPr>
          <w:ilvl w:val="0"/>
          <w:numId w:val="4"/>
        </w:numPr>
        <w:spacing w:line="360" w:lineRule="auto"/>
        <w:jc w:val="both"/>
        <w:rPr>
          <w:rFonts w:ascii="Garamond" w:hAnsi="Garamond"/>
          <w:color w:val="auto"/>
          <w:lang w:val="en-US"/>
        </w:rPr>
      </w:pPr>
      <w:r w:rsidRPr="000B14DE">
        <w:rPr>
          <w:rFonts w:ascii="Garamond" w:hAnsi="Garamond"/>
          <w:color w:val="auto"/>
          <w:lang w:val="en-US"/>
        </w:rPr>
        <w:t>The reprocessing/sterilization of appliances.</w:t>
      </w:r>
    </w:p>
    <w:p w:rsidR="00006F4D" w:rsidRPr="000B14DE" w:rsidRDefault="00006F4D" w:rsidP="000B14DE">
      <w:pPr>
        <w:pStyle w:val="Heading2"/>
        <w:spacing w:line="360" w:lineRule="auto"/>
        <w:rPr>
          <w:rFonts w:ascii="Garamond" w:hAnsi="Garamond"/>
        </w:rPr>
      </w:pPr>
      <w:bookmarkStart w:id="30" w:name="_Toc325554600"/>
      <w:r w:rsidRPr="000B14DE">
        <w:rPr>
          <w:rFonts w:ascii="Garamond" w:hAnsi="Garamond"/>
        </w:rPr>
        <w:t>New Zealand</w:t>
      </w:r>
      <w:bookmarkEnd w:id="30"/>
    </w:p>
    <w:p w:rsidR="00006F4D" w:rsidRPr="000B14DE" w:rsidRDefault="00006F4D" w:rsidP="00E61BB2">
      <w:pPr>
        <w:spacing w:line="360" w:lineRule="auto"/>
        <w:jc w:val="both"/>
        <w:rPr>
          <w:rFonts w:ascii="Garamond" w:hAnsi="Garamond"/>
          <w:color w:val="auto"/>
          <w:lang w:val="en-US"/>
        </w:rPr>
      </w:pPr>
      <w:r w:rsidRPr="000B14DE">
        <w:rPr>
          <w:rFonts w:ascii="Garamond" w:hAnsi="Garamond"/>
          <w:color w:val="auto"/>
        </w:rPr>
        <w:t>Although there is no specific legislation on body art practice in New Zealand, there are guidelines produced for practitioners. These guidelines cover the following:</w:t>
      </w:r>
    </w:p>
    <w:p w:rsidR="00006F4D" w:rsidRPr="000B14DE" w:rsidRDefault="00006F4D" w:rsidP="00E61BB2">
      <w:pPr>
        <w:pStyle w:val="ListParagraph"/>
        <w:numPr>
          <w:ilvl w:val="0"/>
          <w:numId w:val="5"/>
        </w:numPr>
        <w:spacing w:line="360" w:lineRule="auto"/>
        <w:jc w:val="both"/>
        <w:rPr>
          <w:rFonts w:ascii="Garamond" w:hAnsi="Garamond"/>
          <w:color w:val="auto"/>
          <w:lang w:val="en-US"/>
        </w:rPr>
      </w:pPr>
      <w:r w:rsidRPr="000B14DE">
        <w:rPr>
          <w:rFonts w:ascii="Garamond" w:hAnsi="Garamond"/>
          <w:color w:val="auto"/>
          <w:lang w:val="en-US"/>
        </w:rPr>
        <w:t>How to minimize risk of transmitting blood borne and other infections by the use of standard precautions during skin piercing procedures;</w:t>
      </w:r>
    </w:p>
    <w:p w:rsidR="00006F4D" w:rsidRPr="000B14DE" w:rsidRDefault="00006F4D" w:rsidP="00E61BB2">
      <w:pPr>
        <w:pStyle w:val="ListParagraph"/>
        <w:numPr>
          <w:ilvl w:val="0"/>
          <w:numId w:val="5"/>
        </w:numPr>
        <w:spacing w:line="360" w:lineRule="auto"/>
        <w:jc w:val="both"/>
        <w:rPr>
          <w:rFonts w:ascii="Garamond" w:hAnsi="Garamond"/>
          <w:color w:val="auto"/>
          <w:lang w:val="en-US"/>
        </w:rPr>
      </w:pPr>
      <w:r w:rsidRPr="000B14DE">
        <w:rPr>
          <w:rFonts w:ascii="Garamond" w:hAnsi="Garamond"/>
          <w:color w:val="auto"/>
          <w:lang w:val="en-US"/>
        </w:rPr>
        <w:t xml:space="preserve">How to ensure appliances are clean and sterile before being used for skin piercing; </w:t>
      </w:r>
    </w:p>
    <w:p w:rsidR="00006F4D" w:rsidRPr="000B14DE" w:rsidRDefault="00006F4D" w:rsidP="00E61BB2">
      <w:pPr>
        <w:pStyle w:val="ListParagraph"/>
        <w:numPr>
          <w:ilvl w:val="0"/>
          <w:numId w:val="5"/>
        </w:numPr>
        <w:spacing w:line="360" w:lineRule="auto"/>
        <w:jc w:val="both"/>
        <w:rPr>
          <w:rFonts w:ascii="Garamond" w:hAnsi="Garamond"/>
          <w:color w:val="auto"/>
          <w:lang w:val="en-US"/>
        </w:rPr>
      </w:pPr>
      <w:r w:rsidRPr="000B14DE">
        <w:rPr>
          <w:rFonts w:ascii="Garamond" w:hAnsi="Garamond"/>
          <w:color w:val="auto"/>
          <w:lang w:val="en-US"/>
        </w:rPr>
        <w:t>How to minimize the risk of transmitting micro-organisms between the operator, the appliances used and other clients; and</w:t>
      </w:r>
    </w:p>
    <w:p w:rsidR="00006F4D" w:rsidRPr="000B14DE" w:rsidRDefault="00006F4D" w:rsidP="00E61BB2">
      <w:pPr>
        <w:pStyle w:val="ListParagraph"/>
        <w:numPr>
          <w:ilvl w:val="0"/>
          <w:numId w:val="5"/>
        </w:numPr>
        <w:spacing w:line="360" w:lineRule="auto"/>
        <w:jc w:val="both"/>
        <w:rPr>
          <w:rFonts w:ascii="Garamond" w:hAnsi="Garamond"/>
          <w:color w:val="auto"/>
          <w:lang w:val="en-US"/>
        </w:rPr>
      </w:pPr>
      <w:r w:rsidRPr="000B14DE">
        <w:rPr>
          <w:rFonts w:ascii="Garamond" w:hAnsi="Garamond"/>
          <w:color w:val="auto"/>
          <w:lang w:val="en-US"/>
        </w:rPr>
        <w:t>How to further promote a safe work environment for workers performing skin-piercing operations</w:t>
      </w:r>
    </w:p>
    <w:p w:rsidR="00006F4D" w:rsidRPr="000B14DE" w:rsidRDefault="00006F4D" w:rsidP="007D20B7">
      <w:pPr>
        <w:pStyle w:val="Heading2"/>
        <w:spacing w:line="360" w:lineRule="auto"/>
        <w:rPr>
          <w:rFonts w:ascii="Garamond" w:hAnsi="Garamond"/>
          <w:lang w:val="en-US"/>
        </w:rPr>
      </w:pPr>
      <w:bookmarkStart w:id="31" w:name="_Toc325554601"/>
      <w:r w:rsidRPr="000B14DE">
        <w:rPr>
          <w:rFonts w:ascii="Garamond" w:hAnsi="Garamond"/>
          <w:lang w:val="en-US"/>
        </w:rPr>
        <w:t xml:space="preserve">Canada </w:t>
      </w:r>
      <w:r w:rsidR="00B57DBB" w:rsidRPr="00B57DBB">
        <w:rPr>
          <w:rFonts w:ascii="Garamond" w:hAnsi="Garamond"/>
          <w:b w:val="0"/>
          <w:sz w:val="24"/>
          <w:szCs w:val="24"/>
          <w:lang w:val="en-US"/>
        </w:rPr>
        <w:t>(</w:t>
      </w:r>
      <w:r w:rsidR="00B57DBB" w:rsidRPr="00B57DBB">
        <w:rPr>
          <w:rFonts w:ascii="Garamond" w:hAnsi="Garamond"/>
          <w:b w:val="0"/>
          <w:sz w:val="24"/>
          <w:szCs w:val="24"/>
        </w:rPr>
        <w:t xml:space="preserve">Alberta Health and Wellness, Canada. </w:t>
      </w:r>
      <w:r w:rsidR="00B57DBB" w:rsidRPr="00B57DBB">
        <w:rPr>
          <w:rFonts w:ascii="Garamond" w:hAnsi="Garamond"/>
          <w:b w:val="0"/>
          <w:i/>
          <w:sz w:val="24"/>
          <w:szCs w:val="24"/>
        </w:rPr>
        <w:t>2002)</w:t>
      </w:r>
      <w:bookmarkEnd w:id="31"/>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There are widely published standards and guideline for body piercing and tattooing practitioners in Canada. These guidelines were based on the Health Canada-Infection Control guideline. The Key themes covered were:</w:t>
      </w:r>
    </w:p>
    <w:p w:rsidR="00006F4D" w:rsidRPr="000B14DE" w:rsidRDefault="00006F4D" w:rsidP="00E61BB2">
      <w:pPr>
        <w:pStyle w:val="ListParagraph"/>
        <w:numPr>
          <w:ilvl w:val="0"/>
          <w:numId w:val="6"/>
        </w:numPr>
        <w:spacing w:line="360" w:lineRule="auto"/>
        <w:jc w:val="both"/>
        <w:rPr>
          <w:rFonts w:ascii="Garamond" w:hAnsi="Garamond"/>
          <w:color w:val="auto"/>
        </w:rPr>
      </w:pPr>
      <w:r w:rsidRPr="000B14DE">
        <w:rPr>
          <w:rFonts w:ascii="Garamond" w:hAnsi="Garamond"/>
          <w:color w:val="auto"/>
        </w:rPr>
        <w:t xml:space="preserve">Equipment requirements </w:t>
      </w:r>
    </w:p>
    <w:p w:rsidR="00006F4D" w:rsidRPr="000B14DE" w:rsidRDefault="00006F4D" w:rsidP="00E61BB2">
      <w:pPr>
        <w:pStyle w:val="ListParagraph"/>
        <w:numPr>
          <w:ilvl w:val="0"/>
          <w:numId w:val="6"/>
        </w:numPr>
        <w:spacing w:line="360" w:lineRule="auto"/>
        <w:jc w:val="both"/>
        <w:rPr>
          <w:rFonts w:ascii="Garamond" w:hAnsi="Garamond"/>
          <w:color w:val="auto"/>
        </w:rPr>
      </w:pPr>
      <w:r w:rsidRPr="000B14DE">
        <w:rPr>
          <w:rFonts w:ascii="Garamond" w:hAnsi="Garamond"/>
          <w:color w:val="auto"/>
        </w:rPr>
        <w:t>Preparation and handling of Instrument and Equipment</w:t>
      </w:r>
    </w:p>
    <w:p w:rsidR="00006F4D" w:rsidRPr="000B14DE" w:rsidRDefault="00006F4D" w:rsidP="00E61BB2">
      <w:pPr>
        <w:pStyle w:val="ListParagraph"/>
        <w:numPr>
          <w:ilvl w:val="0"/>
          <w:numId w:val="6"/>
        </w:numPr>
        <w:spacing w:line="360" w:lineRule="auto"/>
        <w:jc w:val="both"/>
        <w:rPr>
          <w:rFonts w:ascii="Garamond" w:hAnsi="Garamond"/>
          <w:color w:val="auto"/>
        </w:rPr>
      </w:pPr>
      <w:r w:rsidRPr="000B14DE">
        <w:rPr>
          <w:rFonts w:ascii="Garamond" w:hAnsi="Garamond"/>
          <w:color w:val="auto"/>
        </w:rPr>
        <w:t>Consent, Client preparation and post treatment care</w:t>
      </w:r>
    </w:p>
    <w:p w:rsidR="00006F4D" w:rsidRPr="000B14DE" w:rsidRDefault="00006F4D" w:rsidP="00E61BB2">
      <w:pPr>
        <w:pStyle w:val="ListParagraph"/>
        <w:numPr>
          <w:ilvl w:val="0"/>
          <w:numId w:val="6"/>
        </w:numPr>
        <w:spacing w:line="360" w:lineRule="auto"/>
        <w:jc w:val="both"/>
        <w:rPr>
          <w:rFonts w:ascii="Garamond" w:hAnsi="Garamond"/>
          <w:color w:val="auto"/>
        </w:rPr>
      </w:pPr>
      <w:r w:rsidRPr="000B14DE">
        <w:rPr>
          <w:rFonts w:ascii="Garamond" w:hAnsi="Garamond"/>
          <w:color w:val="auto"/>
        </w:rPr>
        <w:t>Waste disposal</w:t>
      </w:r>
    </w:p>
    <w:p w:rsidR="00006F4D" w:rsidRPr="000B14DE" w:rsidRDefault="00006F4D" w:rsidP="00E61BB2">
      <w:pPr>
        <w:pStyle w:val="ListParagraph"/>
        <w:numPr>
          <w:ilvl w:val="0"/>
          <w:numId w:val="6"/>
        </w:numPr>
        <w:spacing w:line="360" w:lineRule="auto"/>
        <w:jc w:val="both"/>
        <w:rPr>
          <w:rFonts w:ascii="Garamond" w:hAnsi="Garamond"/>
          <w:color w:val="auto"/>
        </w:rPr>
      </w:pPr>
      <w:r w:rsidRPr="000B14DE">
        <w:rPr>
          <w:rFonts w:ascii="Garamond" w:hAnsi="Garamond"/>
          <w:color w:val="auto"/>
        </w:rPr>
        <w:t>Record keeping and Incident Management</w:t>
      </w:r>
    </w:p>
    <w:p w:rsidR="00006F4D" w:rsidRPr="000B14DE" w:rsidRDefault="00006F4D" w:rsidP="00E61BB2">
      <w:pPr>
        <w:pStyle w:val="ListParagraph"/>
        <w:numPr>
          <w:ilvl w:val="0"/>
          <w:numId w:val="6"/>
        </w:numPr>
        <w:spacing w:line="360" w:lineRule="auto"/>
        <w:jc w:val="both"/>
        <w:rPr>
          <w:rFonts w:ascii="Garamond" w:hAnsi="Garamond"/>
          <w:color w:val="auto"/>
        </w:rPr>
      </w:pPr>
      <w:r w:rsidRPr="000B14DE">
        <w:rPr>
          <w:rFonts w:ascii="Garamond" w:hAnsi="Garamond"/>
          <w:color w:val="auto"/>
        </w:rPr>
        <w:t>Cleaning, Disinfection and Sterilisation</w:t>
      </w:r>
    </w:p>
    <w:p w:rsidR="00006F4D" w:rsidRPr="000B14DE" w:rsidRDefault="00006F4D" w:rsidP="00E61BB2">
      <w:pPr>
        <w:pStyle w:val="ListParagraph"/>
        <w:numPr>
          <w:ilvl w:val="0"/>
          <w:numId w:val="6"/>
        </w:numPr>
        <w:spacing w:line="360" w:lineRule="auto"/>
        <w:jc w:val="both"/>
        <w:rPr>
          <w:rFonts w:ascii="Garamond" w:hAnsi="Garamond"/>
          <w:color w:val="auto"/>
        </w:rPr>
      </w:pPr>
      <w:r w:rsidRPr="000B14DE">
        <w:rPr>
          <w:rFonts w:ascii="Garamond" w:hAnsi="Garamond"/>
          <w:color w:val="auto"/>
        </w:rPr>
        <w:t>Personal Protective Equipment</w:t>
      </w:r>
    </w:p>
    <w:p w:rsidR="00006F4D" w:rsidRPr="000B14DE" w:rsidRDefault="00006F4D" w:rsidP="00E61BB2">
      <w:pPr>
        <w:pStyle w:val="ListParagraph"/>
        <w:spacing w:line="360" w:lineRule="auto"/>
        <w:jc w:val="both"/>
        <w:rPr>
          <w:rFonts w:ascii="Garamond" w:hAnsi="Garamond"/>
          <w:color w:val="auto"/>
        </w:rPr>
      </w:pPr>
    </w:p>
    <w:p w:rsidR="00006F4D" w:rsidRPr="002F6805" w:rsidRDefault="00006F4D" w:rsidP="00E61BB2">
      <w:pPr>
        <w:spacing w:line="360" w:lineRule="auto"/>
        <w:jc w:val="both"/>
        <w:rPr>
          <w:rFonts w:ascii="Garamond" w:hAnsi="Garamond"/>
          <w:color w:val="auto"/>
        </w:rPr>
      </w:pPr>
      <w:r w:rsidRPr="000B14DE">
        <w:rPr>
          <w:rFonts w:ascii="Garamond" w:hAnsi="Garamond"/>
          <w:color w:val="auto"/>
        </w:rPr>
        <w:t xml:space="preserve">The guidelines identified, within and outside the UK, have common themes and broadly capture the issues that are peculiar to body art practise, however, they do not specifically address some of the day-to-day practise of the body art practitioner. Areas requiring more details are clarity on cleaning, sterilisation and decontamination i.e. water temperature for cleaning, use and frequency of change of cleaning brush and storage of sterilised instruments; use of gloves, especially latex gloves while also using </w:t>
      </w:r>
      <w:r w:rsidRPr="000B14DE">
        <w:rPr>
          <w:rFonts w:ascii="Garamond" w:hAnsi="Garamond"/>
          <w:iCs/>
          <w:color w:val="auto"/>
          <w:lang w:val="en-US"/>
        </w:rPr>
        <w:t>petroleum-based lubricants</w:t>
      </w:r>
      <w:r w:rsidRPr="000B14DE">
        <w:rPr>
          <w:rFonts w:ascii="Garamond" w:hAnsi="Garamond"/>
          <w:color w:val="auto"/>
        </w:rPr>
        <w:t xml:space="preserve"> e.g. Vaseline; clarity on disinfectant to use for cleaning body fluids; and clarity on layout of dirty-clean-sterilisation stations.  See Appendix </w:t>
      </w:r>
      <w:r w:rsidR="00EB60E8" w:rsidRPr="000B14DE">
        <w:rPr>
          <w:rFonts w:ascii="Garamond" w:hAnsi="Garamond"/>
          <w:color w:val="auto"/>
        </w:rPr>
        <w:t xml:space="preserve">3 </w:t>
      </w:r>
      <w:r w:rsidRPr="000B14DE">
        <w:rPr>
          <w:rFonts w:ascii="Garamond" w:hAnsi="Garamond"/>
          <w:color w:val="auto"/>
        </w:rPr>
        <w:t>for a summary of identified guidelines.</w:t>
      </w:r>
    </w:p>
    <w:p w:rsidR="00006F4D" w:rsidRPr="000B14DE" w:rsidRDefault="00006F4D" w:rsidP="007D20B7">
      <w:pPr>
        <w:pStyle w:val="Heading1"/>
        <w:spacing w:line="480" w:lineRule="auto"/>
        <w:rPr>
          <w:rFonts w:ascii="Garamond" w:hAnsi="Garamond"/>
          <w:lang w:eastAsia="en-US"/>
        </w:rPr>
      </w:pPr>
      <w:bookmarkStart w:id="32" w:name="_Toc325554602"/>
      <w:r w:rsidRPr="000B14DE">
        <w:rPr>
          <w:rFonts w:ascii="Garamond" w:hAnsi="Garamond"/>
          <w:lang w:eastAsia="en-US"/>
        </w:rPr>
        <w:t>Discussion</w:t>
      </w:r>
      <w:bookmarkEnd w:id="32"/>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This </w:t>
      </w:r>
      <w:r w:rsidR="00B47968">
        <w:rPr>
          <w:rFonts w:ascii="Garamond" w:hAnsi="Garamond"/>
          <w:color w:val="auto"/>
          <w:lang w:eastAsia="en-US"/>
        </w:rPr>
        <w:t xml:space="preserve">literature </w:t>
      </w:r>
      <w:r w:rsidRPr="000B14DE">
        <w:rPr>
          <w:rFonts w:ascii="Garamond" w:hAnsi="Garamond"/>
          <w:color w:val="auto"/>
          <w:lang w:eastAsia="en-US"/>
        </w:rPr>
        <w:t xml:space="preserve">review appraised both published and unpublished literature on key aspects that enables the understanding of the practice of tattooing and its associated issues and concerns. </w:t>
      </w:r>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The areas specifically reviewed were the history and the prevalence of tattooing, the complications associated with the practice and the routes of transmitting infections during the practice of tattooing. Also, a brief review of guidelines for the practice of tattooing in other developed countries for common themes was conducted. </w:t>
      </w:r>
    </w:p>
    <w:p w:rsidR="00006F4D" w:rsidRPr="000B14DE" w:rsidRDefault="00632B25" w:rsidP="00E61BB2">
      <w:pPr>
        <w:spacing w:line="360" w:lineRule="auto"/>
        <w:jc w:val="both"/>
        <w:rPr>
          <w:rFonts w:ascii="Garamond" w:hAnsi="Garamond"/>
          <w:color w:val="auto"/>
          <w:lang w:eastAsia="en-US"/>
        </w:rPr>
      </w:pPr>
      <w:r w:rsidRPr="000B14DE">
        <w:rPr>
          <w:rFonts w:ascii="Garamond" w:hAnsi="Garamond"/>
          <w:color w:val="auto"/>
          <w:lang w:eastAsia="en-US"/>
        </w:rPr>
        <w:t>Robust online literature searches were conducted and so also were experts on the subject consulted in order to retrieve</w:t>
      </w:r>
      <w:r w:rsidR="00006F4D" w:rsidRPr="000B14DE">
        <w:rPr>
          <w:rFonts w:ascii="Garamond" w:hAnsi="Garamond"/>
          <w:color w:val="auto"/>
          <w:lang w:eastAsia="en-US"/>
        </w:rPr>
        <w:t xml:space="preserve"> both published and unpublished literature. Following this</w:t>
      </w:r>
      <w:r w:rsidR="008841AA">
        <w:rPr>
          <w:rFonts w:ascii="Garamond" w:hAnsi="Garamond"/>
          <w:color w:val="auto"/>
          <w:lang w:eastAsia="en-US"/>
        </w:rPr>
        <w:t xml:space="preserve"> search</w:t>
      </w:r>
      <w:r w:rsidR="00006F4D" w:rsidRPr="000B14DE">
        <w:rPr>
          <w:rFonts w:ascii="Garamond" w:hAnsi="Garamond"/>
          <w:color w:val="auto"/>
          <w:lang w:eastAsia="en-US"/>
        </w:rPr>
        <w:t>, inclusion and exclusion criteria were applied</w:t>
      </w:r>
      <w:r w:rsidR="008841AA">
        <w:rPr>
          <w:rFonts w:ascii="Garamond" w:hAnsi="Garamond"/>
          <w:color w:val="auto"/>
          <w:lang w:eastAsia="en-US"/>
        </w:rPr>
        <w:t xml:space="preserve"> to the identified literatures</w:t>
      </w:r>
      <w:r w:rsidR="00006F4D" w:rsidRPr="000B14DE">
        <w:rPr>
          <w:rFonts w:ascii="Garamond" w:hAnsi="Garamond"/>
          <w:color w:val="auto"/>
          <w:lang w:eastAsia="en-US"/>
        </w:rPr>
        <w:t xml:space="preserve">, which resulted in exclusion of a considerable number of literatures. Relevant literatures that could inform a good representation of available evidence may have been excluded as a result. </w:t>
      </w:r>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The literatures identified during this review were mostly of low-level grade evidence (SIGN grade 3) however they are sufficient to enable a good understanding of the subject</w:t>
      </w:r>
      <w:r w:rsidR="008841AA">
        <w:rPr>
          <w:rFonts w:ascii="Garamond" w:hAnsi="Garamond"/>
          <w:color w:val="auto"/>
          <w:lang w:eastAsia="en-US"/>
        </w:rPr>
        <w:t>,</w:t>
      </w:r>
      <w:r w:rsidRPr="000B14DE">
        <w:rPr>
          <w:rFonts w:ascii="Garamond" w:hAnsi="Garamond"/>
          <w:color w:val="auto"/>
          <w:lang w:eastAsia="en-US"/>
        </w:rPr>
        <w:t xml:space="preserve"> given the paucity of higher-level grade evidence. Although most of the literatures identified were cross sectional studies, which the SIGN grade system does not specifically grade, the reviewer assigned a grade 3 for cross sectional studies. Some of the cross sectional studies may be of higher grade than assigned, since some were more analytic and robust than others. Guidelines and reviews identified were not graded as </w:t>
      </w:r>
      <w:r w:rsidR="001836A0" w:rsidRPr="000B14DE">
        <w:rPr>
          <w:rFonts w:ascii="Garamond" w:hAnsi="Garamond"/>
          <w:color w:val="auto"/>
          <w:lang w:eastAsia="en-US"/>
        </w:rPr>
        <w:t xml:space="preserve">these </w:t>
      </w:r>
      <w:r w:rsidRPr="000B14DE">
        <w:rPr>
          <w:rFonts w:ascii="Garamond" w:hAnsi="Garamond"/>
          <w:color w:val="auto"/>
          <w:lang w:eastAsia="en-US"/>
        </w:rPr>
        <w:t>are often not considered as conventional evidence and were also not graded by the SIGN grade.</w:t>
      </w:r>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The SIGN grading was used because it is </w:t>
      </w:r>
      <w:r w:rsidR="00072579">
        <w:rPr>
          <w:rFonts w:ascii="Garamond" w:hAnsi="Garamond"/>
          <w:color w:val="auto"/>
          <w:lang w:eastAsia="en-US"/>
        </w:rPr>
        <w:t xml:space="preserve">one of the </w:t>
      </w:r>
      <w:r w:rsidRPr="000B14DE">
        <w:rPr>
          <w:rFonts w:ascii="Garamond" w:hAnsi="Garamond"/>
          <w:color w:val="auto"/>
          <w:lang w:eastAsia="en-US"/>
        </w:rPr>
        <w:t xml:space="preserve">popular </w:t>
      </w:r>
      <w:r w:rsidR="00072579">
        <w:rPr>
          <w:rFonts w:ascii="Garamond" w:hAnsi="Garamond"/>
          <w:color w:val="auto"/>
          <w:lang w:eastAsia="en-US"/>
        </w:rPr>
        <w:t xml:space="preserve">grading tools </w:t>
      </w:r>
      <w:r w:rsidRPr="000B14DE">
        <w:rPr>
          <w:rFonts w:ascii="Garamond" w:hAnsi="Garamond"/>
          <w:color w:val="auto"/>
          <w:lang w:eastAsia="en-US"/>
        </w:rPr>
        <w:t>and</w:t>
      </w:r>
      <w:r w:rsidR="00721232">
        <w:rPr>
          <w:rFonts w:ascii="Garamond" w:hAnsi="Garamond"/>
          <w:color w:val="auto"/>
          <w:lang w:eastAsia="en-US"/>
        </w:rPr>
        <w:t xml:space="preserve"> since</w:t>
      </w:r>
      <w:r w:rsidRPr="000B14DE">
        <w:rPr>
          <w:rFonts w:ascii="Garamond" w:hAnsi="Garamond"/>
          <w:color w:val="auto"/>
          <w:lang w:eastAsia="en-US"/>
        </w:rPr>
        <w:t xml:space="preserve"> </w:t>
      </w:r>
      <w:r w:rsidR="00721232">
        <w:rPr>
          <w:rFonts w:ascii="Garamond" w:hAnsi="Garamond"/>
          <w:color w:val="auto"/>
          <w:lang w:eastAsia="en-US"/>
        </w:rPr>
        <w:t>this grading tool</w:t>
      </w:r>
      <w:r w:rsidRPr="000B14DE">
        <w:rPr>
          <w:rFonts w:ascii="Garamond" w:hAnsi="Garamond"/>
          <w:color w:val="auto"/>
          <w:lang w:eastAsia="en-US"/>
        </w:rPr>
        <w:t xml:space="preserve"> had been previously used in the literature review on body piercing</w:t>
      </w:r>
      <w:r w:rsidR="00721232">
        <w:rPr>
          <w:rFonts w:ascii="Garamond" w:hAnsi="Garamond"/>
          <w:color w:val="auto"/>
          <w:lang w:eastAsia="en-US"/>
        </w:rPr>
        <w:t>, using it</w:t>
      </w:r>
      <w:r w:rsidR="00721232" w:rsidRPr="000B14DE">
        <w:rPr>
          <w:rFonts w:ascii="Garamond" w:hAnsi="Garamond"/>
          <w:color w:val="auto"/>
          <w:lang w:eastAsia="en-US"/>
        </w:rPr>
        <w:t xml:space="preserve"> </w:t>
      </w:r>
      <w:r w:rsidR="00721232">
        <w:rPr>
          <w:rFonts w:ascii="Garamond" w:hAnsi="Garamond"/>
          <w:color w:val="auto"/>
          <w:lang w:eastAsia="en-US"/>
        </w:rPr>
        <w:t xml:space="preserve">in this review </w:t>
      </w:r>
      <w:r w:rsidR="00721232" w:rsidRPr="000B14DE">
        <w:rPr>
          <w:rFonts w:ascii="Garamond" w:hAnsi="Garamond"/>
          <w:color w:val="auto"/>
          <w:lang w:eastAsia="en-US"/>
        </w:rPr>
        <w:t>enables consistency</w:t>
      </w:r>
      <w:r w:rsidRPr="000B14DE">
        <w:rPr>
          <w:rFonts w:ascii="Garamond" w:hAnsi="Garamond"/>
          <w:color w:val="auto"/>
          <w:lang w:eastAsia="en-US"/>
        </w:rPr>
        <w:t xml:space="preserve">. The SIGN grading system allows for ranking of different literatures on the basis of potential for bias, chance, confounder and inference in terms of causality. </w:t>
      </w:r>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The search and retrieval of literature was conducted using resources from University of Birmingham Library, the CIEH library, the HPA library and experts in the subject. Solely, the author conducted the identification and appraisal of relevant literature and this could have inadvertently led to bias. </w:t>
      </w:r>
    </w:p>
    <w:p w:rsidR="00006F4D" w:rsidRPr="007D20B7" w:rsidRDefault="00006F4D" w:rsidP="007D20B7">
      <w:pPr>
        <w:pStyle w:val="Heading2"/>
        <w:spacing w:line="360" w:lineRule="auto"/>
        <w:rPr>
          <w:rFonts w:ascii="Garamond" w:hAnsi="Garamond"/>
          <w:lang w:eastAsia="en-US"/>
        </w:rPr>
      </w:pPr>
      <w:bookmarkStart w:id="33" w:name="_Toc325554603"/>
      <w:r w:rsidRPr="007D20B7">
        <w:rPr>
          <w:rFonts w:ascii="Garamond" w:hAnsi="Garamond"/>
          <w:lang w:eastAsia="en-US"/>
        </w:rPr>
        <w:t>History and Prevalence</w:t>
      </w:r>
      <w:bookmarkEnd w:id="33"/>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Tattooing is historical, practised in every continent and while it may still denote an art associated with high-risk behaviour its practice continues to grow. The recent resurgence of tattooing is encouraged by societal acceptance, more so as it is now one of the adornments of societal models and mentors.  </w:t>
      </w:r>
    </w:p>
    <w:p w:rsidR="00EB4738"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There was no literature identified during this review that explored or conducted a prevalence study on tattoo</w:t>
      </w:r>
      <w:r w:rsidR="00EB4738">
        <w:rPr>
          <w:rFonts w:ascii="Garamond" w:hAnsi="Garamond"/>
          <w:color w:val="auto"/>
          <w:lang w:eastAsia="en-US"/>
        </w:rPr>
        <w:t>ing</w:t>
      </w:r>
      <w:r w:rsidRPr="000B14DE">
        <w:rPr>
          <w:rFonts w:ascii="Garamond" w:hAnsi="Garamond"/>
          <w:color w:val="auto"/>
          <w:lang w:eastAsia="en-US"/>
        </w:rPr>
        <w:t xml:space="preserve"> in the UK. Given the above deductions, it appears there are limited, if any, literature on absolute prevalence of tattoos in the UK. </w:t>
      </w:r>
    </w:p>
    <w:p w:rsidR="00EB4738" w:rsidRDefault="00EB4738" w:rsidP="00E61BB2">
      <w:pPr>
        <w:spacing w:line="360" w:lineRule="auto"/>
        <w:jc w:val="both"/>
        <w:rPr>
          <w:rFonts w:ascii="Garamond" w:hAnsi="Garamond"/>
          <w:color w:val="auto"/>
          <w:lang w:eastAsia="en-US"/>
        </w:rPr>
      </w:pPr>
      <w:r>
        <w:rPr>
          <w:rFonts w:ascii="Garamond" w:hAnsi="Garamond"/>
          <w:color w:val="auto"/>
          <w:lang w:eastAsia="en-US"/>
        </w:rPr>
        <w:t>The p</w:t>
      </w:r>
      <w:r w:rsidRPr="000B14DE">
        <w:rPr>
          <w:rFonts w:ascii="Garamond" w:hAnsi="Garamond"/>
          <w:color w:val="auto"/>
          <w:lang w:eastAsia="en-US"/>
        </w:rPr>
        <w:t>revalence of tattoo</w:t>
      </w:r>
      <w:r>
        <w:rPr>
          <w:rFonts w:ascii="Garamond" w:hAnsi="Garamond"/>
          <w:color w:val="auto"/>
          <w:lang w:eastAsia="en-US"/>
        </w:rPr>
        <w:t>ing</w:t>
      </w:r>
      <w:r w:rsidRPr="000B14DE">
        <w:rPr>
          <w:rFonts w:ascii="Garamond" w:hAnsi="Garamond"/>
          <w:color w:val="auto"/>
          <w:lang w:eastAsia="en-US"/>
        </w:rPr>
        <w:t xml:space="preserve"> in the UK could probably have been ascertained through record kept by tattooist however this may be restricted for </w:t>
      </w:r>
      <w:r>
        <w:rPr>
          <w:rFonts w:ascii="Garamond" w:hAnsi="Garamond"/>
          <w:color w:val="auto"/>
          <w:lang w:eastAsia="en-US"/>
        </w:rPr>
        <w:t>commercial reasons</w:t>
      </w:r>
      <w:r w:rsidR="009C2975">
        <w:rPr>
          <w:rFonts w:ascii="Garamond" w:hAnsi="Garamond"/>
          <w:color w:val="auto"/>
          <w:lang w:eastAsia="en-US"/>
        </w:rPr>
        <w:t>,</w:t>
      </w:r>
      <w:r w:rsidR="00220584">
        <w:rPr>
          <w:rFonts w:ascii="Garamond" w:hAnsi="Garamond"/>
          <w:color w:val="auto"/>
          <w:lang w:eastAsia="en-US"/>
        </w:rPr>
        <w:t xml:space="preserve"> if such information is routinely kep</w:t>
      </w:r>
      <w:r w:rsidR="009C2975">
        <w:rPr>
          <w:rFonts w:ascii="Garamond" w:hAnsi="Garamond"/>
          <w:color w:val="auto"/>
          <w:lang w:eastAsia="en-US"/>
        </w:rPr>
        <w:t>t</w:t>
      </w:r>
      <w:r>
        <w:rPr>
          <w:rFonts w:ascii="Garamond" w:hAnsi="Garamond"/>
          <w:color w:val="auto"/>
          <w:lang w:eastAsia="en-US"/>
        </w:rPr>
        <w:t>. Also,</w:t>
      </w:r>
      <w:r w:rsidRPr="000B14DE">
        <w:rPr>
          <w:rFonts w:ascii="Garamond" w:hAnsi="Garamond"/>
          <w:color w:val="auto"/>
          <w:lang w:eastAsia="en-US"/>
        </w:rPr>
        <w:t xml:space="preserve"> not all tattoos would have been conduc</w:t>
      </w:r>
      <w:r w:rsidR="009C2975">
        <w:rPr>
          <w:rFonts w:ascii="Garamond" w:hAnsi="Garamond"/>
          <w:color w:val="auto"/>
          <w:lang w:eastAsia="en-US"/>
        </w:rPr>
        <w:t xml:space="preserve">ted in these practices. There </w:t>
      </w:r>
      <w:r>
        <w:rPr>
          <w:rFonts w:ascii="Garamond" w:hAnsi="Garamond"/>
          <w:color w:val="auto"/>
          <w:lang w:eastAsia="en-US"/>
        </w:rPr>
        <w:t>c</w:t>
      </w:r>
      <w:r w:rsidRPr="000B14DE">
        <w:rPr>
          <w:rFonts w:ascii="Garamond" w:hAnsi="Garamond"/>
          <w:color w:val="auto"/>
          <w:lang w:eastAsia="en-US"/>
        </w:rPr>
        <w:t xml:space="preserve">ould be inconsistency on record keeping across tattoo practices, which may </w:t>
      </w:r>
      <w:r w:rsidR="009C2975">
        <w:rPr>
          <w:rFonts w:ascii="Garamond" w:hAnsi="Garamond"/>
          <w:color w:val="auto"/>
          <w:lang w:eastAsia="en-US"/>
        </w:rPr>
        <w:t xml:space="preserve">also </w:t>
      </w:r>
      <w:r w:rsidRPr="000B14DE">
        <w:rPr>
          <w:rFonts w:ascii="Garamond" w:hAnsi="Garamond"/>
          <w:color w:val="auto"/>
          <w:lang w:eastAsia="en-US"/>
        </w:rPr>
        <w:t>l</w:t>
      </w:r>
      <w:r>
        <w:rPr>
          <w:rFonts w:ascii="Garamond" w:hAnsi="Garamond"/>
          <w:color w:val="auto"/>
          <w:lang w:eastAsia="en-US"/>
        </w:rPr>
        <w:t>ead to poor case ascertainment.</w:t>
      </w:r>
    </w:p>
    <w:p w:rsidR="00006F4D" w:rsidRPr="000B14DE" w:rsidRDefault="00EB4738" w:rsidP="00E61BB2">
      <w:pPr>
        <w:spacing w:line="360" w:lineRule="auto"/>
        <w:jc w:val="both"/>
        <w:rPr>
          <w:rFonts w:ascii="Garamond" w:hAnsi="Garamond"/>
          <w:color w:val="auto"/>
          <w:lang w:eastAsia="en-US"/>
        </w:rPr>
      </w:pPr>
      <w:r>
        <w:rPr>
          <w:rFonts w:ascii="Garamond" w:hAnsi="Garamond"/>
          <w:color w:val="auto"/>
          <w:lang w:eastAsia="en-US"/>
        </w:rPr>
        <w:t>T</w:t>
      </w:r>
      <w:r w:rsidR="00006F4D" w:rsidRPr="000B14DE">
        <w:rPr>
          <w:rFonts w:ascii="Garamond" w:hAnsi="Garamond"/>
          <w:color w:val="auto"/>
          <w:lang w:eastAsia="en-US"/>
        </w:rPr>
        <w:t>his lack of documented evidence on the prevalence of tattooing in the UK highlights a need for research/study to ascertain the prevalence of tattoo in the UK. This will give a true indication of the scale and potential impact of tattooing and some of its associated complications</w:t>
      </w:r>
      <w:r w:rsidR="00EB60E8" w:rsidRPr="000B14DE">
        <w:rPr>
          <w:rFonts w:ascii="Garamond" w:hAnsi="Garamond"/>
          <w:color w:val="auto"/>
          <w:lang w:eastAsia="en-US"/>
        </w:rPr>
        <w:t xml:space="preserve"> in the UK</w:t>
      </w:r>
      <w:r w:rsidR="00006F4D" w:rsidRPr="000B14DE">
        <w:rPr>
          <w:rFonts w:ascii="Garamond" w:hAnsi="Garamond"/>
          <w:color w:val="auto"/>
          <w:lang w:eastAsia="en-US"/>
        </w:rPr>
        <w:t xml:space="preserve">. </w:t>
      </w:r>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Studies conducted in other developed countries suggested a prevalence in the range of 8.5-21% of the population and that the practice appears to be growing, with higher prevalence in institutional settings notably universities, prisons and the military setting. Most of these studies were of good quality and were appropriate for the settings. However, there were a few internal and external validity concerns therefore inference to the UK population may not be ideal. </w:t>
      </w:r>
    </w:p>
    <w:p w:rsidR="00D759C4" w:rsidRDefault="00006F4D" w:rsidP="00D759C4">
      <w:pPr>
        <w:spacing w:line="360" w:lineRule="auto"/>
        <w:jc w:val="both"/>
        <w:rPr>
          <w:rFonts w:ascii="Garamond" w:hAnsi="Garamond"/>
          <w:color w:val="auto"/>
          <w:lang w:eastAsia="en-US"/>
        </w:rPr>
      </w:pPr>
      <w:r w:rsidRPr="000B14DE">
        <w:rPr>
          <w:rFonts w:ascii="Garamond" w:hAnsi="Garamond"/>
          <w:color w:val="auto"/>
          <w:lang w:eastAsia="en-US"/>
        </w:rPr>
        <w:t>It appears the practice spreads across all strata of the society and with varying reasons for choosing to have a tattoo. Whatever the reason chosen, one thing that is clear and consistent from the literature is that the practice of tattooing is growing and gaining greater acceptability in the society-this may also translate to an increase in complications.</w:t>
      </w:r>
    </w:p>
    <w:p w:rsidR="002F6805" w:rsidRPr="000B14DE" w:rsidRDefault="002F6805" w:rsidP="00D759C4">
      <w:pPr>
        <w:spacing w:line="360" w:lineRule="auto"/>
        <w:jc w:val="both"/>
        <w:rPr>
          <w:rFonts w:ascii="Garamond" w:hAnsi="Garamond"/>
          <w:color w:val="auto"/>
          <w:lang w:eastAsia="en-US"/>
        </w:rPr>
      </w:pPr>
    </w:p>
    <w:p w:rsidR="00006F4D" w:rsidRPr="007D20B7" w:rsidRDefault="00006F4D" w:rsidP="007D20B7">
      <w:pPr>
        <w:pStyle w:val="Heading2"/>
        <w:spacing w:line="360" w:lineRule="auto"/>
        <w:rPr>
          <w:rFonts w:ascii="Garamond" w:hAnsi="Garamond"/>
          <w:lang w:eastAsia="en-US"/>
        </w:rPr>
      </w:pPr>
      <w:bookmarkStart w:id="34" w:name="_Toc325554604"/>
      <w:r w:rsidRPr="007D20B7">
        <w:rPr>
          <w:rFonts w:ascii="Garamond" w:hAnsi="Garamond"/>
          <w:lang w:eastAsia="en-US"/>
        </w:rPr>
        <w:t>Complications</w:t>
      </w:r>
      <w:bookmarkEnd w:id="34"/>
    </w:p>
    <w:p w:rsidR="00006F4D" w:rsidRPr="000B14DE" w:rsidRDefault="00EB4738" w:rsidP="00E61BB2">
      <w:pPr>
        <w:spacing w:line="360" w:lineRule="auto"/>
        <w:jc w:val="both"/>
        <w:rPr>
          <w:rFonts w:ascii="Garamond" w:hAnsi="Garamond"/>
          <w:color w:val="auto"/>
          <w:lang w:eastAsia="en-US"/>
        </w:rPr>
      </w:pPr>
      <w:r>
        <w:rPr>
          <w:rFonts w:ascii="Garamond" w:hAnsi="Garamond"/>
          <w:color w:val="auto"/>
          <w:lang w:eastAsia="en-US"/>
        </w:rPr>
        <w:t>The m</w:t>
      </w:r>
      <w:r w:rsidR="00006F4D" w:rsidRPr="000B14DE">
        <w:rPr>
          <w:rFonts w:ascii="Garamond" w:hAnsi="Garamond"/>
          <w:color w:val="auto"/>
          <w:lang w:eastAsia="en-US"/>
        </w:rPr>
        <w:t xml:space="preserve">ajority of the immediate complications described relate to the site of the tattoo and these are mainly due to immediate inflammatory reaction to direct puncture, chemicals used or microorganisms. These complications, to a large extent, depend on the standard of hygienic practice, the skill of the tattooist, the duration and area of the body covered by the tattoo, the aftercare information given to the client and the attitude of the client to the wound/tattoo site. </w:t>
      </w:r>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Allergic reactions documented have been due to some of the chemicals mentioned, an issue that can potentially be addressed at source i.e. by the producer. Another potential issue is the possibility of contamination of the ink with microorganisms either at source or during use by the tattooist, which may be a challenge to address, at the tattooist centre than at source.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In view of published literature, and because of anecdotal information from local authority enforcement teams, concerns over tattoo ink quality have already been acted upon at the national and European level.  Requirements therefore already exist for ink products to be sterile at first use and chemically inert (non-toxic and non-allergenic</w:t>
      </w:r>
      <w:r w:rsidR="00474A6E" w:rsidRPr="000B14DE">
        <w:rPr>
          <w:rFonts w:ascii="Garamond" w:hAnsi="Garamond"/>
          <w:color w:val="auto"/>
        </w:rPr>
        <w:t>)</w:t>
      </w:r>
      <w:r w:rsidR="00474A6E">
        <w:rPr>
          <w:rFonts w:ascii="Garamond" w:hAnsi="Garamond"/>
          <w:color w:val="auto"/>
        </w:rPr>
        <w:t xml:space="preserve"> (</w:t>
      </w:r>
      <w:r w:rsidR="00474A6E" w:rsidRPr="00474A6E">
        <w:rPr>
          <w:rFonts w:ascii="Garamond" w:hAnsi="Garamond"/>
        </w:rPr>
        <w:t>Council</w:t>
      </w:r>
      <w:r w:rsidR="00474A6E" w:rsidRPr="00474A6E">
        <w:rPr>
          <w:rFonts w:ascii="Garamond" w:hAnsi="Garamond"/>
          <w:color w:val="auto"/>
        </w:rPr>
        <w:t xml:space="preserve"> of Europe</w:t>
      </w:r>
      <w:r w:rsidR="00474A6E">
        <w:rPr>
          <w:rFonts w:ascii="Garamond" w:hAnsi="Garamond"/>
          <w:color w:val="auto"/>
        </w:rPr>
        <w:t>,</w:t>
      </w:r>
      <w:r w:rsidR="00474A6E" w:rsidRPr="00474A6E">
        <w:rPr>
          <w:rFonts w:ascii="Garamond" w:hAnsi="Garamond"/>
          <w:color w:val="auto"/>
        </w:rPr>
        <w:t xml:space="preserve"> 2008)</w:t>
      </w:r>
      <w:r w:rsidRPr="000B14DE">
        <w:rPr>
          <w:rFonts w:ascii="Garamond" w:hAnsi="Garamond"/>
          <w:color w:val="auto"/>
        </w:rPr>
        <w:t xml:space="preserve">. </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 xml:space="preserve">In 2003 the UK Government published byelaws, for use by local authority environmental health officers (EHOs) to aid </w:t>
      </w:r>
      <w:r w:rsidR="00474A6E" w:rsidRPr="000B14DE">
        <w:rPr>
          <w:rFonts w:ascii="Garamond" w:hAnsi="Garamond"/>
          <w:color w:val="auto"/>
        </w:rPr>
        <w:t>enforcement</w:t>
      </w:r>
      <w:r w:rsidR="00474A6E">
        <w:rPr>
          <w:rFonts w:ascii="Garamond" w:hAnsi="Garamond"/>
          <w:color w:val="auto"/>
        </w:rPr>
        <w:t xml:space="preserve"> (</w:t>
      </w:r>
      <w:r w:rsidR="00474A6E" w:rsidRPr="00502B48">
        <w:rPr>
          <w:rFonts w:ascii="Garamond" w:hAnsi="Garamond"/>
        </w:rPr>
        <w:t>Department of Health</w:t>
      </w:r>
      <w:r w:rsidR="00474A6E">
        <w:rPr>
          <w:rFonts w:ascii="Garamond" w:hAnsi="Garamond"/>
        </w:rPr>
        <w:t>, 2006.</w:t>
      </w:r>
      <w:r w:rsidR="002242DF">
        <w:rPr>
          <w:rFonts w:ascii="Garamond" w:hAnsi="Garamond"/>
          <w:color w:val="auto"/>
        </w:rPr>
        <w:t>)</w:t>
      </w:r>
      <w:r w:rsidRPr="000B14DE">
        <w:rPr>
          <w:rFonts w:ascii="Garamond" w:hAnsi="Garamond"/>
          <w:color w:val="auto"/>
        </w:rPr>
        <w:t>.</w:t>
      </w:r>
      <w:r w:rsidR="00E36473" w:rsidRPr="000B14DE">
        <w:rPr>
          <w:rFonts w:ascii="Garamond" w:hAnsi="Garamond"/>
          <w:color w:val="auto"/>
        </w:rPr>
        <w:t xml:space="preserve"> </w:t>
      </w:r>
      <w:r w:rsidRPr="000B14DE">
        <w:rPr>
          <w:rFonts w:ascii="Garamond" w:hAnsi="Garamond"/>
          <w:color w:val="auto"/>
        </w:rPr>
        <w:t>The Welsh Assembly has also published its own byelaws to accommodate this area of enforcement and, like the UK model byelaws that preceded them, these stipulate that ‘..</w:t>
      </w:r>
      <w:r w:rsidR="00E36473">
        <w:rPr>
          <w:rFonts w:ascii="Garamond" w:hAnsi="Garamond"/>
          <w:color w:val="auto"/>
        </w:rPr>
        <w:t>.</w:t>
      </w:r>
      <w:r w:rsidRPr="000B14DE">
        <w:rPr>
          <w:rFonts w:ascii="Garamond" w:hAnsi="Garamond"/>
          <w:color w:val="auto"/>
        </w:rPr>
        <w:t>for the purposes of tattooing or semi-permanent skin-colouring, only sterile inert pigment, dispensed into single use pots or pre-packed in single use vials, is used.’</w:t>
      </w:r>
      <w:r w:rsidR="00E36473">
        <w:rPr>
          <w:rFonts w:ascii="Garamond" w:hAnsi="Garamond"/>
          <w:color w:val="auto"/>
        </w:rPr>
        <w:t xml:space="preserve"> </w:t>
      </w:r>
      <w:r w:rsidR="002242DF">
        <w:rPr>
          <w:rFonts w:ascii="Garamond" w:hAnsi="Garamond"/>
          <w:color w:val="auto"/>
        </w:rPr>
        <w:t>(</w:t>
      </w:r>
      <w:r w:rsidR="00474A6E">
        <w:rPr>
          <w:rFonts w:ascii="Garamond" w:hAnsi="Garamond"/>
          <w:color w:val="auto"/>
        </w:rPr>
        <w:t xml:space="preserve">Welsh Government, </w:t>
      </w:r>
      <w:r w:rsidR="00474A6E" w:rsidRPr="000A7ED8">
        <w:rPr>
          <w:rFonts w:ascii="Garamond" w:hAnsi="Garamond"/>
          <w:color w:val="auto"/>
        </w:rPr>
        <w:t>2011</w:t>
      </w:r>
      <w:r w:rsidR="002242DF">
        <w:rPr>
          <w:rFonts w:ascii="Garamond" w:hAnsi="Garamond"/>
          <w:color w:val="auto"/>
        </w:rPr>
        <w:t>)</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However, two key challenges exist to monitoring the quality of inks used within UK premises:</w:t>
      </w:r>
    </w:p>
    <w:p w:rsidR="00006F4D" w:rsidRPr="000B14DE" w:rsidRDefault="00006F4D" w:rsidP="00E61BB2">
      <w:pPr>
        <w:numPr>
          <w:ilvl w:val="0"/>
          <w:numId w:val="11"/>
        </w:numPr>
        <w:spacing w:line="360" w:lineRule="auto"/>
        <w:jc w:val="both"/>
        <w:rPr>
          <w:rFonts w:ascii="Garamond" w:hAnsi="Garamond"/>
          <w:color w:val="auto"/>
        </w:rPr>
      </w:pPr>
      <w:r w:rsidRPr="000B14DE">
        <w:rPr>
          <w:rFonts w:ascii="Garamond" w:hAnsi="Garamond"/>
          <w:color w:val="auto"/>
        </w:rPr>
        <w:t>The application of existing bylaws and the Council of Europe resolution is difficult to achieve and not comprehensive within the UK.  It would involve a change in culture for the industry, i.e. routine ink quality checks by all manufacturers, which do not currently exist; and,</w:t>
      </w:r>
    </w:p>
    <w:p w:rsidR="00006F4D" w:rsidRPr="000B14DE" w:rsidRDefault="00006F4D" w:rsidP="00E61BB2">
      <w:pPr>
        <w:numPr>
          <w:ilvl w:val="0"/>
          <w:numId w:val="11"/>
        </w:numPr>
        <w:spacing w:line="360" w:lineRule="auto"/>
        <w:jc w:val="both"/>
        <w:rPr>
          <w:rFonts w:ascii="Garamond" w:hAnsi="Garamond"/>
          <w:color w:val="auto"/>
        </w:rPr>
      </w:pPr>
      <w:r w:rsidRPr="000B14DE">
        <w:rPr>
          <w:rFonts w:ascii="Garamond" w:hAnsi="Garamond"/>
          <w:color w:val="auto"/>
        </w:rPr>
        <w:t>At present, largely as a result of (1) above, there are very few independent data to confirm the quality of inks used in the UK, and accompanying product quality data is not universally available with purchased inks.</w:t>
      </w:r>
    </w:p>
    <w:p w:rsidR="00006F4D" w:rsidRPr="000B14DE" w:rsidRDefault="00006F4D" w:rsidP="00E61BB2">
      <w:pPr>
        <w:spacing w:line="360" w:lineRule="auto"/>
        <w:jc w:val="both"/>
        <w:rPr>
          <w:rFonts w:ascii="Garamond" w:hAnsi="Garamond"/>
          <w:color w:val="auto"/>
        </w:rPr>
      </w:pPr>
      <w:r w:rsidRPr="000B14DE">
        <w:rPr>
          <w:rFonts w:ascii="Garamond" w:hAnsi="Garamond"/>
          <w:color w:val="auto"/>
        </w:rPr>
        <w:t>Despite published case studies and some literature reviews that have considered the issue of ink contamination, data remain sparse in this topic area.  Although further data is likely to be published in future, the limited existing points of reference mean that any related recommendations for the tattooing sector remain outside the scope of this document.  Although best practice for injected materials would logically require the availability of appropriate product information, until the published evidence base expands and legislation supports it, this is unlikely to become an enforcement requirement.</w:t>
      </w:r>
    </w:p>
    <w:p w:rsidR="008A6298" w:rsidRDefault="00006F4D" w:rsidP="00EB4738">
      <w:pPr>
        <w:spacing w:line="360" w:lineRule="auto"/>
        <w:jc w:val="both"/>
        <w:rPr>
          <w:rFonts w:ascii="Garamond" w:hAnsi="Garamond"/>
          <w:color w:val="auto"/>
          <w:lang w:eastAsia="en-US"/>
        </w:rPr>
      </w:pPr>
      <w:r w:rsidRPr="000B14DE">
        <w:rPr>
          <w:rFonts w:ascii="Garamond" w:hAnsi="Garamond"/>
          <w:color w:val="auto"/>
          <w:lang w:eastAsia="en-US"/>
        </w:rPr>
        <w:t xml:space="preserve">Infective endocarditis was another complication reported and these findings were mainly from case reports or case series. There appears to be a controversy on how best to approach the prevention of infective endocarditis following a tattoo visit especially amongst those with underlying medical condition. </w:t>
      </w:r>
      <w:r w:rsidR="008A6298">
        <w:rPr>
          <w:rFonts w:ascii="Garamond" w:hAnsi="Garamond"/>
          <w:color w:val="auto"/>
          <w:lang w:eastAsia="en-US"/>
        </w:rPr>
        <w:t>However, r</w:t>
      </w:r>
      <w:r w:rsidR="008A6298" w:rsidRPr="00EB4738">
        <w:rPr>
          <w:rFonts w:ascii="Garamond" w:hAnsi="Garamond"/>
          <w:color w:val="auto"/>
          <w:lang w:eastAsia="en-US"/>
        </w:rPr>
        <w:t>ecent advice from the British Society from Antimicrobial Chemotherapy states that anyone who has</w:t>
      </w:r>
      <w:r w:rsidR="008A6298">
        <w:rPr>
          <w:rFonts w:ascii="Garamond" w:hAnsi="Garamond"/>
          <w:color w:val="auto"/>
          <w:lang w:eastAsia="en-US"/>
        </w:rPr>
        <w:t xml:space="preserve"> </w:t>
      </w:r>
      <w:r w:rsidR="008A6298" w:rsidRPr="00EB4738">
        <w:rPr>
          <w:rFonts w:ascii="Garamond" w:hAnsi="Garamond"/>
          <w:color w:val="auto"/>
          <w:lang w:eastAsia="en-US"/>
        </w:rPr>
        <w:t>had previous heart surgery, or been diagnosed with a heart condition, should consult their doctor before having a piercing involving a mucous membrane (nose, lip, tongue or genitals), as there may be a risk of potentially serious infection. It is recommended that local authorities inform businesses of this advice so that they ask relevant clients to consult their GPs. The Department of Health is alerting GPs to this</w:t>
      </w:r>
      <w:r w:rsidR="008A6298">
        <w:rPr>
          <w:rFonts w:ascii="Garamond" w:hAnsi="Garamond"/>
          <w:color w:val="auto"/>
          <w:lang w:eastAsia="en-US"/>
        </w:rPr>
        <w:t xml:space="preserve"> </w:t>
      </w:r>
      <w:r w:rsidR="008A6298" w:rsidRPr="00EB4738">
        <w:rPr>
          <w:rFonts w:ascii="Garamond" w:hAnsi="Garamond"/>
          <w:color w:val="auto"/>
          <w:lang w:eastAsia="en-US"/>
        </w:rPr>
        <w:t>advice via its GP Bulletin</w:t>
      </w:r>
      <w:r w:rsidR="008A6298">
        <w:rPr>
          <w:rFonts w:ascii="Garamond" w:hAnsi="Garamond"/>
          <w:color w:val="auto"/>
          <w:lang w:eastAsia="en-US"/>
        </w:rPr>
        <w:t xml:space="preserve"> (Robb, 2012).</w:t>
      </w:r>
    </w:p>
    <w:p w:rsidR="00006F4D" w:rsidRPr="000B14DE" w:rsidRDefault="00006F4D" w:rsidP="00EB4738">
      <w:pPr>
        <w:spacing w:line="360" w:lineRule="auto"/>
        <w:jc w:val="both"/>
        <w:rPr>
          <w:rFonts w:ascii="Garamond" w:hAnsi="Garamond"/>
          <w:color w:val="auto"/>
          <w:lang w:eastAsia="en-US"/>
        </w:rPr>
      </w:pPr>
      <w:r w:rsidRPr="000B14DE">
        <w:rPr>
          <w:rFonts w:ascii="Garamond" w:hAnsi="Garamond"/>
          <w:color w:val="auto"/>
          <w:lang w:eastAsia="en-US"/>
        </w:rPr>
        <w:t>This finding further highlights the need for adequate pre-health check, the understanding of the implications of tattoo on someone with history of underlying medical (especially cardiac) condition and the need for the tattooist to discuss this with the client and also to ensure adequate aseptic measure is in place.</w:t>
      </w:r>
    </w:p>
    <w:p w:rsidR="00006F4D" w:rsidRPr="000B14DE" w:rsidRDefault="00006F4D" w:rsidP="007D20B7">
      <w:pPr>
        <w:pStyle w:val="Heading2"/>
        <w:spacing w:line="360" w:lineRule="auto"/>
        <w:rPr>
          <w:rFonts w:ascii="Garamond" w:hAnsi="Garamond"/>
          <w:lang w:eastAsia="en-US"/>
        </w:rPr>
      </w:pPr>
      <w:bookmarkStart w:id="35" w:name="_Toc325554605"/>
      <w:r w:rsidRPr="000B14DE">
        <w:rPr>
          <w:rFonts w:ascii="Garamond" w:hAnsi="Garamond"/>
          <w:lang w:eastAsia="en-US"/>
        </w:rPr>
        <w:t>Blood borne virus and Tattooing</w:t>
      </w:r>
      <w:bookmarkEnd w:id="35"/>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Most of the </w:t>
      </w:r>
      <w:r w:rsidR="007C5A7E" w:rsidRPr="000B14DE">
        <w:rPr>
          <w:rFonts w:ascii="Garamond" w:hAnsi="Garamond"/>
          <w:color w:val="auto"/>
          <w:lang w:eastAsia="en-US"/>
        </w:rPr>
        <w:t>long-term</w:t>
      </w:r>
      <w:r w:rsidRPr="000B14DE">
        <w:rPr>
          <w:rFonts w:ascii="Garamond" w:hAnsi="Garamond"/>
          <w:color w:val="auto"/>
          <w:lang w:eastAsia="en-US"/>
        </w:rPr>
        <w:t xml:space="preserve"> complications identified were mainly blood borne virus infection. The debate on the possible transmission of blood borne virus during tattooing in modern times is ongoing and findings suggest that this is now a controversial subject. However the highest level of evidence identified in this </w:t>
      </w:r>
      <w:r w:rsidR="007C5A7E" w:rsidRPr="000B14DE">
        <w:rPr>
          <w:rFonts w:ascii="Garamond" w:hAnsi="Garamond"/>
          <w:color w:val="auto"/>
          <w:lang w:eastAsia="en-US"/>
        </w:rPr>
        <w:t>review, which is a systematic review,</w:t>
      </w:r>
      <w:r w:rsidRPr="000B14DE">
        <w:rPr>
          <w:rFonts w:ascii="Garamond" w:hAnsi="Garamond"/>
          <w:color w:val="auto"/>
          <w:lang w:eastAsia="en-US"/>
        </w:rPr>
        <w:t xml:space="preserve"> by Rania and Scott (</w:t>
      </w:r>
      <w:r w:rsidRPr="000B14DE">
        <w:rPr>
          <w:rFonts w:ascii="Garamond" w:hAnsi="Garamond"/>
          <w:i/>
          <w:color w:val="auto"/>
          <w:lang w:eastAsia="en-US"/>
        </w:rPr>
        <w:t xml:space="preserve">2012) </w:t>
      </w:r>
      <w:r w:rsidRPr="000B14DE">
        <w:rPr>
          <w:rFonts w:ascii="Garamond" w:hAnsi="Garamond"/>
          <w:color w:val="auto"/>
          <w:lang w:eastAsia="en-US"/>
        </w:rPr>
        <w:t xml:space="preserve">asserts that tattooing is associated with Hepatitis C, further complimenting previous systematic review with meta-analysis by Jafari et al. (2008). Both studies had similar issues with heterogeneity but when adjusted there was still a significant association observed between having a tattoo and acquiring a Hepatitis C infection. </w:t>
      </w:r>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Hayley et al (2003) had argued that the reason for what appears to be equivocal findings on tattooing and blood borne virus may be explained by a biological plausibility that those having tattoo are less likely to develop symptoms and infection when compared to those who had direct inoculation to the blood i.e. injecting drug users, because intra dermal exposure will lead to injection of smaller quantity of blood borne virus. Also, they claimed that there is poor reporting of tattoo as a risk factor for blood borne virus during notification hence less robust data to analyse and draw significant conclusions from. </w:t>
      </w:r>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Hepatitis B has previously (in the 1990s) been reported as a common infection associated with tattooing, more than the others</w:t>
      </w:r>
      <w:r w:rsidR="00EB60E8" w:rsidRPr="000B14DE">
        <w:rPr>
          <w:rFonts w:ascii="Garamond" w:hAnsi="Garamond"/>
          <w:color w:val="auto"/>
          <w:lang w:eastAsia="en-US"/>
        </w:rPr>
        <w:t xml:space="preserve"> i.e. HIV and HCV</w:t>
      </w:r>
      <w:r w:rsidRPr="000B14DE">
        <w:rPr>
          <w:rFonts w:ascii="Garamond" w:hAnsi="Garamond"/>
          <w:color w:val="auto"/>
          <w:lang w:eastAsia="en-US"/>
        </w:rPr>
        <w:t xml:space="preserve">. Fewer studies have mentioned this in recent time despite HBV being the most transmissible when compared to HCV and HIV. This may be so with the availability of a vaccine for HBV and post-exposure prophylaxis to HIV, hence less vulnerability to HBV and HIV. </w:t>
      </w:r>
    </w:p>
    <w:p w:rsidR="00006F4D"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The conclusions that could be drawn from the literatures is that needle stick injury and exposure prone procedures are predisposing factor for the transmission of blood borne virus and tattoo fits under these definition i.e. needle stick injury and exposure prone procedure. This therefore implies that the need for strict aseptic practice cannot be over emphasised. </w:t>
      </w:r>
    </w:p>
    <w:p w:rsidR="00006F4D" w:rsidRPr="002F6805"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Following the critical appraisal of the literature identified, the conclusions that could be drawn were that tattooing carries a risk that could lead to irreversible consequences, one of which is infection by a blood borne virus, especially HCV.</w:t>
      </w:r>
    </w:p>
    <w:p w:rsidR="00006F4D" w:rsidRPr="000B14DE" w:rsidRDefault="00006F4D" w:rsidP="007D20B7">
      <w:pPr>
        <w:pStyle w:val="Heading1"/>
        <w:spacing w:line="480" w:lineRule="auto"/>
        <w:rPr>
          <w:rFonts w:ascii="Garamond" w:hAnsi="Garamond"/>
          <w:lang w:eastAsia="en-US"/>
        </w:rPr>
      </w:pPr>
      <w:bookmarkStart w:id="36" w:name="_Toc325554606"/>
      <w:r w:rsidRPr="000B14DE">
        <w:rPr>
          <w:rFonts w:ascii="Garamond" w:hAnsi="Garamond"/>
          <w:lang w:eastAsia="en-US"/>
        </w:rPr>
        <w:t>Conclusion</w:t>
      </w:r>
      <w:bookmarkEnd w:id="36"/>
    </w:p>
    <w:p w:rsidR="00DC68B5" w:rsidRPr="000B14DE"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 xml:space="preserve">There is no information on the prevalence of tattoo in the UK but evidence from other developed countries suggest that the practice of tattooing continues to grow and in fact has come to stay, especially so with increasing societal acceptance. </w:t>
      </w:r>
      <w:r w:rsidR="00EB60E8" w:rsidRPr="000B14DE">
        <w:rPr>
          <w:rFonts w:ascii="Garamond" w:hAnsi="Garamond"/>
          <w:color w:val="auto"/>
          <w:lang w:eastAsia="en-US"/>
        </w:rPr>
        <w:t xml:space="preserve">It appears about 8.5-21% of the general population in these countries </w:t>
      </w:r>
      <w:r w:rsidR="001C68CE">
        <w:rPr>
          <w:rFonts w:ascii="Garamond" w:hAnsi="Garamond"/>
          <w:color w:val="auto"/>
          <w:lang w:eastAsia="en-US"/>
        </w:rPr>
        <w:t xml:space="preserve">could </w:t>
      </w:r>
      <w:r w:rsidR="00EB60E8" w:rsidRPr="000B14DE">
        <w:rPr>
          <w:rFonts w:ascii="Garamond" w:hAnsi="Garamond"/>
          <w:color w:val="auto"/>
          <w:lang w:eastAsia="en-US"/>
        </w:rPr>
        <w:t>have one or more tattoo.</w:t>
      </w:r>
      <w:r w:rsidR="004A6CD9">
        <w:rPr>
          <w:rFonts w:ascii="Garamond" w:hAnsi="Garamond"/>
          <w:color w:val="auto"/>
          <w:lang w:eastAsia="en-US"/>
        </w:rPr>
        <w:t xml:space="preserve"> </w:t>
      </w:r>
      <w:r w:rsidR="0079666B" w:rsidRPr="0079666B">
        <w:rPr>
          <w:rFonts w:ascii="Garamond" w:hAnsi="Garamond"/>
          <w:color w:val="auto"/>
          <w:lang w:eastAsia="en-US"/>
        </w:rPr>
        <w:t>There is a need to conduct a prevalence study on tattooing in the UK. This will enable a better understanding of the scale of tattooing and the associated complication especially</w:t>
      </w:r>
      <w:r w:rsidR="00DC68B5">
        <w:rPr>
          <w:rFonts w:ascii="Garamond" w:hAnsi="Garamond"/>
          <w:color w:val="auto"/>
          <w:lang w:eastAsia="en-US"/>
        </w:rPr>
        <w:t>,</w:t>
      </w:r>
      <w:r w:rsidR="0079666B" w:rsidRPr="0079666B">
        <w:rPr>
          <w:rFonts w:ascii="Garamond" w:hAnsi="Garamond"/>
          <w:color w:val="auto"/>
          <w:lang w:eastAsia="en-US"/>
        </w:rPr>
        <w:t xml:space="preserve"> as it relates to the UK.</w:t>
      </w:r>
      <w:r w:rsidR="00DC68B5">
        <w:rPr>
          <w:rFonts w:ascii="Garamond" w:hAnsi="Garamond"/>
          <w:color w:val="auto"/>
          <w:lang w:eastAsia="en-US"/>
        </w:rPr>
        <w:t xml:space="preserve"> The conduct of this study will provide an opportunity to explore</w:t>
      </w:r>
      <w:r w:rsidR="00DC68B5" w:rsidRPr="00DC68B5">
        <w:rPr>
          <w:rFonts w:ascii="Garamond" w:hAnsi="Garamond"/>
          <w:color w:val="auto"/>
          <w:lang w:eastAsia="en-US"/>
        </w:rPr>
        <w:t xml:space="preserve"> the association between blood borne virus, </w:t>
      </w:r>
      <w:r w:rsidR="000B49D2" w:rsidRPr="00DC68B5">
        <w:rPr>
          <w:rFonts w:ascii="Garamond" w:hAnsi="Garamond"/>
          <w:color w:val="auto"/>
          <w:lang w:eastAsia="en-US"/>
        </w:rPr>
        <w:t>high-risk</w:t>
      </w:r>
      <w:r w:rsidR="00DC68B5" w:rsidRPr="00DC68B5">
        <w:rPr>
          <w:rFonts w:ascii="Garamond" w:hAnsi="Garamond"/>
          <w:color w:val="auto"/>
          <w:lang w:eastAsia="en-US"/>
        </w:rPr>
        <w:t xml:space="preserve"> behaviour and tattooing in the UK.</w:t>
      </w:r>
    </w:p>
    <w:p w:rsidR="00DC68B5" w:rsidRDefault="000B49D2" w:rsidP="000B49D2">
      <w:pPr>
        <w:spacing w:line="360" w:lineRule="auto"/>
        <w:jc w:val="both"/>
        <w:rPr>
          <w:rFonts w:ascii="Garamond" w:hAnsi="Garamond"/>
          <w:color w:val="auto"/>
          <w:lang w:eastAsia="en-US"/>
        </w:rPr>
      </w:pPr>
      <w:r w:rsidRPr="000B14DE">
        <w:rPr>
          <w:rFonts w:ascii="Garamond" w:hAnsi="Garamond"/>
          <w:color w:val="auto"/>
          <w:lang w:eastAsia="en-US"/>
        </w:rPr>
        <w:t xml:space="preserve">Although available literature on tattooing appears to be weak, identified literatures have highlighted some of the issues and concerns related to tattooing. </w:t>
      </w:r>
      <w:r w:rsidR="00006F4D" w:rsidRPr="000B14DE">
        <w:rPr>
          <w:rFonts w:ascii="Garamond" w:hAnsi="Garamond"/>
          <w:color w:val="auto"/>
          <w:lang w:eastAsia="en-US"/>
        </w:rPr>
        <w:t>The practice of tattoo has been associated with adverse effects/complications, some of which are long term and irreversible</w:t>
      </w:r>
      <w:r w:rsidR="00EB60E8" w:rsidRPr="000B14DE">
        <w:rPr>
          <w:rFonts w:ascii="Garamond" w:hAnsi="Garamond"/>
          <w:color w:val="auto"/>
          <w:lang w:eastAsia="en-US"/>
        </w:rPr>
        <w:t xml:space="preserve"> i.e. blood borne viral infection</w:t>
      </w:r>
      <w:r w:rsidR="00006F4D" w:rsidRPr="000B14DE">
        <w:rPr>
          <w:rFonts w:ascii="Garamond" w:hAnsi="Garamond"/>
          <w:color w:val="auto"/>
          <w:lang w:eastAsia="en-US"/>
        </w:rPr>
        <w:t>. Most of the</w:t>
      </w:r>
      <w:r w:rsidR="001C68CE">
        <w:rPr>
          <w:rFonts w:ascii="Garamond" w:hAnsi="Garamond"/>
          <w:color w:val="auto"/>
          <w:lang w:eastAsia="en-US"/>
        </w:rPr>
        <w:t>se</w:t>
      </w:r>
      <w:r w:rsidR="00006F4D" w:rsidRPr="000B14DE">
        <w:rPr>
          <w:rFonts w:ascii="Garamond" w:hAnsi="Garamond"/>
          <w:color w:val="auto"/>
          <w:lang w:eastAsia="en-US"/>
        </w:rPr>
        <w:t xml:space="preserve"> complications</w:t>
      </w:r>
      <w:r w:rsidR="001C68CE">
        <w:rPr>
          <w:rFonts w:ascii="Garamond" w:hAnsi="Garamond"/>
          <w:color w:val="auto"/>
          <w:lang w:eastAsia="en-US"/>
        </w:rPr>
        <w:t xml:space="preserve"> (including the blood borne viruses)</w:t>
      </w:r>
      <w:r w:rsidR="00006F4D" w:rsidRPr="000B14DE">
        <w:rPr>
          <w:rFonts w:ascii="Garamond" w:hAnsi="Garamond"/>
          <w:color w:val="auto"/>
          <w:lang w:eastAsia="en-US"/>
        </w:rPr>
        <w:t xml:space="preserve"> are attributed to settings that are unregulated and where there are poor hygienic measures in place.</w:t>
      </w:r>
      <w:r w:rsidR="00DC68B5" w:rsidRPr="00DC68B5">
        <w:rPr>
          <w:rFonts w:ascii="Garamond" w:hAnsi="Garamond"/>
          <w:color w:val="auto"/>
          <w:lang w:eastAsia="en-US"/>
        </w:rPr>
        <w:t xml:space="preserve"> </w:t>
      </w:r>
      <w:r w:rsidR="00DC68B5" w:rsidRPr="000B14DE">
        <w:rPr>
          <w:rFonts w:ascii="Garamond" w:hAnsi="Garamond"/>
          <w:color w:val="auto"/>
          <w:lang w:eastAsia="en-US"/>
        </w:rPr>
        <w:t>There is the need to develop and implement a national</w:t>
      </w:r>
      <w:r w:rsidR="00DC68B5">
        <w:rPr>
          <w:rFonts w:ascii="Garamond" w:hAnsi="Garamond"/>
          <w:color w:val="auto"/>
          <w:lang w:eastAsia="en-US"/>
        </w:rPr>
        <w:t xml:space="preserve"> infection control</w:t>
      </w:r>
      <w:r w:rsidR="00DC68B5" w:rsidRPr="000B14DE">
        <w:rPr>
          <w:rFonts w:ascii="Garamond" w:hAnsi="Garamond"/>
          <w:color w:val="auto"/>
          <w:lang w:eastAsia="en-US"/>
        </w:rPr>
        <w:t xml:space="preserve"> guideline on safe practice of tattooing in the UK, for both </w:t>
      </w:r>
      <w:r w:rsidR="00DC68B5">
        <w:rPr>
          <w:rFonts w:ascii="Garamond" w:hAnsi="Garamond"/>
          <w:color w:val="auto"/>
          <w:lang w:eastAsia="en-US"/>
        </w:rPr>
        <w:t xml:space="preserve">the </w:t>
      </w:r>
      <w:r w:rsidR="00DC68B5" w:rsidRPr="000B14DE">
        <w:rPr>
          <w:rFonts w:ascii="Garamond" w:hAnsi="Garamond"/>
          <w:color w:val="auto"/>
          <w:lang w:eastAsia="en-US"/>
        </w:rPr>
        <w:t>tattooist and regulators</w:t>
      </w:r>
      <w:r w:rsidR="00DC68B5">
        <w:rPr>
          <w:rFonts w:ascii="Garamond" w:hAnsi="Garamond"/>
          <w:color w:val="auto"/>
          <w:lang w:eastAsia="en-US"/>
        </w:rPr>
        <w:t xml:space="preserve">, to work with. </w:t>
      </w:r>
      <w:r w:rsidR="004A6CD9">
        <w:rPr>
          <w:rFonts w:ascii="Garamond" w:hAnsi="Garamond"/>
          <w:color w:val="auto"/>
          <w:lang w:eastAsia="en-US"/>
        </w:rPr>
        <w:t xml:space="preserve">Also, in relation to the above, there is a </w:t>
      </w:r>
      <w:r w:rsidR="004A6CD9" w:rsidRPr="00DC68B5">
        <w:rPr>
          <w:rFonts w:ascii="Garamond" w:hAnsi="Garamond"/>
          <w:color w:val="auto"/>
          <w:lang w:eastAsia="en-US"/>
        </w:rPr>
        <w:t>need</w:t>
      </w:r>
      <w:r w:rsidR="00DC68B5" w:rsidRPr="00DC68B5">
        <w:rPr>
          <w:rFonts w:ascii="Garamond" w:hAnsi="Garamond"/>
          <w:color w:val="auto"/>
          <w:lang w:eastAsia="en-US"/>
        </w:rPr>
        <w:t xml:space="preserve"> to explore how the practice of </w:t>
      </w:r>
      <w:r w:rsidR="00DC68B5">
        <w:rPr>
          <w:rFonts w:ascii="Garamond" w:hAnsi="Garamond"/>
          <w:color w:val="auto"/>
          <w:lang w:eastAsia="en-US"/>
        </w:rPr>
        <w:t xml:space="preserve">unregulated </w:t>
      </w:r>
      <w:r w:rsidR="00DC68B5" w:rsidRPr="00DC68B5">
        <w:rPr>
          <w:rFonts w:ascii="Garamond" w:hAnsi="Garamond"/>
          <w:color w:val="auto"/>
          <w:lang w:eastAsia="en-US"/>
        </w:rPr>
        <w:t>amateur tattooing can be curtailed</w:t>
      </w:r>
      <w:r w:rsidR="00DC68B5">
        <w:rPr>
          <w:rFonts w:ascii="Garamond" w:hAnsi="Garamond"/>
          <w:color w:val="auto"/>
          <w:lang w:eastAsia="en-US"/>
        </w:rPr>
        <w:t>.</w:t>
      </w:r>
      <w:r w:rsidR="00DC68B5" w:rsidRPr="00DC68B5">
        <w:rPr>
          <w:rFonts w:ascii="Garamond" w:hAnsi="Garamond"/>
          <w:color w:val="auto"/>
          <w:lang w:eastAsia="en-US"/>
        </w:rPr>
        <w:t xml:space="preserve"> </w:t>
      </w:r>
    </w:p>
    <w:p w:rsidR="00DC68B5" w:rsidRDefault="00006F4D" w:rsidP="00E61BB2">
      <w:pPr>
        <w:spacing w:line="360" w:lineRule="auto"/>
        <w:jc w:val="both"/>
        <w:rPr>
          <w:rFonts w:ascii="Garamond" w:hAnsi="Garamond"/>
          <w:color w:val="auto"/>
          <w:lang w:eastAsia="en-US"/>
        </w:rPr>
      </w:pPr>
      <w:r w:rsidRPr="000B14DE">
        <w:rPr>
          <w:rFonts w:ascii="Garamond" w:hAnsi="Garamond"/>
          <w:color w:val="auto"/>
          <w:lang w:eastAsia="en-US"/>
        </w:rPr>
        <w:t>Other complications still observed in regulated and hygienic settings often result from</w:t>
      </w:r>
      <w:r w:rsidR="00D759C4" w:rsidRPr="000B14DE">
        <w:rPr>
          <w:rFonts w:ascii="Garamond" w:hAnsi="Garamond"/>
          <w:color w:val="auto"/>
          <w:lang w:eastAsia="en-US"/>
        </w:rPr>
        <w:t xml:space="preserve"> contaminated materials</w:t>
      </w:r>
      <w:r w:rsidRPr="000B14DE">
        <w:rPr>
          <w:rFonts w:ascii="Garamond" w:hAnsi="Garamond"/>
          <w:color w:val="auto"/>
          <w:lang w:eastAsia="en-US"/>
        </w:rPr>
        <w:t xml:space="preserve"> used i.e. dyes</w:t>
      </w:r>
      <w:r w:rsidR="00D759C4" w:rsidRPr="000B14DE">
        <w:rPr>
          <w:rFonts w:ascii="Garamond" w:hAnsi="Garamond"/>
          <w:color w:val="auto"/>
          <w:lang w:eastAsia="en-US"/>
        </w:rPr>
        <w:t>,</w:t>
      </w:r>
      <w:r w:rsidRPr="000B14DE">
        <w:rPr>
          <w:rFonts w:ascii="Garamond" w:hAnsi="Garamond"/>
          <w:color w:val="auto"/>
          <w:lang w:eastAsia="en-US"/>
        </w:rPr>
        <w:t xml:space="preserve"> which are currently difficult to regulate. </w:t>
      </w:r>
      <w:r w:rsidR="00DC68B5">
        <w:rPr>
          <w:rFonts w:ascii="Garamond" w:hAnsi="Garamond"/>
          <w:color w:val="auto"/>
          <w:lang w:eastAsia="en-US"/>
        </w:rPr>
        <w:t xml:space="preserve">More emphasis should therefore be placed on how best to address this issue, through collaborative work with manufacturers and practitioners. </w:t>
      </w:r>
    </w:p>
    <w:p w:rsidR="004A6CD9" w:rsidRDefault="004A6CD9" w:rsidP="00E61BB2">
      <w:pPr>
        <w:spacing w:line="360" w:lineRule="auto"/>
        <w:jc w:val="both"/>
        <w:rPr>
          <w:rFonts w:ascii="Garamond" w:hAnsi="Garamond"/>
          <w:color w:val="auto"/>
          <w:lang w:eastAsia="en-US"/>
        </w:rPr>
      </w:pPr>
      <w:r>
        <w:rPr>
          <w:rFonts w:ascii="Garamond" w:hAnsi="Garamond"/>
          <w:color w:val="auto"/>
          <w:lang w:eastAsia="en-US"/>
        </w:rPr>
        <w:t>One</w:t>
      </w:r>
      <w:r w:rsidR="00006F4D" w:rsidRPr="000B14DE">
        <w:rPr>
          <w:rFonts w:ascii="Garamond" w:hAnsi="Garamond"/>
          <w:color w:val="auto"/>
          <w:lang w:eastAsia="en-US"/>
        </w:rPr>
        <w:t xml:space="preserve"> of </w:t>
      </w:r>
      <w:r>
        <w:rPr>
          <w:rFonts w:ascii="Garamond" w:hAnsi="Garamond"/>
          <w:color w:val="auto"/>
          <w:lang w:eastAsia="en-US"/>
        </w:rPr>
        <w:t>o</w:t>
      </w:r>
      <w:r w:rsidR="00006F4D" w:rsidRPr="000B14DE">
        <w:rPr>
          <w:rFonts w:ascii="Garamond" w:hAnsi="Garamond"/>
          <w:color w:val="auto"/>
          <w:lang w:eastAsia="en-US"/>
        </w:rPr>
        <w:t>the</w:t>
      </w:r>
      <w:r>
        <w:rPr>
          <w:rFonts w:ascii="Garamond" w:hAnsi="Garamond"/>
          <w:color w:val="auto"/>
          <w:lang w:eastAsia="en-US"/>
        </w:rPr>
        <w:t>r</w:t>
      </w:r>
      <w:r w:rsidR="00006F4D" w:rsidRPr="000B14DE">
        <w:rPr>
          <w:rFonts w:ascii="Garamond" w:hAnsi="Garamond"/>
          <w:color w:val="auto"/>
          <w:lang w:eastAsia="en-US"/>
        </w:rPr>
        <w:t xml:space="preserve"> key concerns that apply to the UK </w:t>
      </w:r>
      <w:r w:rsidRPr="000B14DE">
        <w:rPr>
          <w:rFonts w:ascii="Garamond" w:hAnsi="Garamond"/>
          <w:color w:val="auto"/>
          <w:lang w:eastAsia="en-US"/>
        </w:rPr>
        <w:t>is</w:t>
      </w:r>
      <w:r w:rsidR="00006F4D" w:rsidRPr="000B14DE">
        <w:rPr>
          <w:rFonts w:ascii="Garamond" w:hAnsi="Garamond"/>
          <w:color w:val="auto"/>
          <w:lang w:eastAsia="en-US"/>
        </w:rPr>
        <w:t xml:space="preserve"> the lack of a nationally recognised minimum training standard for ta</w:t>
      </w:r>
      <w:r>
        <w:rPr>
          <w:rFonts w:ascii="Garamond" w:hAnsi="Garamond"/>
          <w:color w:val="auto"/>
          <w:lang w:eastAsia="en-US"/>
        </w:rPr>
        <w:t xml:space="preserve">ttooist. The keen engagement of practitioners and regulators in the UK offer an opportunity to </w:t>
      </w:r>
      <w:r w:rsidRPr="004A6CD9">
        <w:rPr>
          <w:rFonts w:ascii="Garamond" w:hAnsi="Garamond"/>
          <w:color w:val="auto"/>
          <w:lang w:eastAsia="en-US"/>
        </w:rPr>
        <w:t>develop a nationally recognised minimum standard of training or competence required of a tattooist.</w:t>
      </w:r>
    </w:p>
    <w:p w:rsidR="004A6CD9" w:rsidRPr="00841335" w:rsidRDefault="004A6CD9" w:rsidP="004A6CD9">
      <w:pPr>
        <w:spacing w:line="360" w:lineRule="auto"/>
        <w:jc w:val="both"/>
        <w:rPr>
          <w:rFonts w:ascii="Garamond" w:hAnsi="Garamond"/>
        </w:rPr>
      </w:pPr>
      <w:r w:rsidRPr="00841335">
        <w:rPr>
          <w:rFonts w:ascii="Garamond" w:hAnsi="Garamond"/>
          <w:color w:val="auto"/>
          <w:lang w:eastAsia="en-US"/>
        </w:rPr>
        <w:t>The above findings have often been the underlying reason for some of the cases of adverse effects from tattooing, when reported.</w:t>
      </w:r>
      <w:r w:rsidR="00841335" w:rsidRPr="00841335">
        <w:rPr>
          <w:rFonts w:ascii="Garamond" w:hAnsi="Garamond"/>
        </w:rPr>
        <w:t xml:space="preserve"> </w:t>
      </w:r>
      <w:r w:rsidR="00C725B0" w:rsidRPr="00841335">
        <w:rPr>
          <w:rFonts w:ascii="Garamond" w:hAnsi="Garamond"/>
        </w:rPr>
        <w:t>Both practitioners</w:t>
      </w:r>
      <w:r w:rsidR="00C725B0">
        <w:rPr>
          <w:rFonts w:ascii="Garamond" w:hAnsi="Garamond"/>
        </w:rPr>
        <w:t xml:space="preserve"> and regulators</w:t>
      </w:r>
      <w:r w:rsidR="00C725B0" w:rsidRPr="00841335">
        <w:rPr>
          <w:rFonts w:ascii="Garamond" w:hAnsi="Garamond"/>
        </w:rPr>
        <w:t xml:space="preserve"> can address some of these concerns</w:t>
      </w:r>
      <w:r w:rsidR="00841335" w:rsidRPr="00841335">
        <w:rPr>
          <w:rFonts w:ascii="Garamond" w:hAnsi="Garamond"/>
        </w:rPr>
        <w:t xml:space="preserve">. Also, the public should be sensitised to the </w:t>
      </w:r>
      <w:r w:rsidR="00841335" w:rsidRPr="00841335">
        <w:rPr>
          <w:rFonts w:ascii="Garamond" w:hAnsi="Garamond"/>
          <w:color w:val="auto"/>
          <w:lang w:eastAsia="en-US"/>
        </w:rPr>
        <w:t xml:space="preserve">implications and expectations of tattoo practice, through </w:t>
      </w:r>
      <w:r w:rsidRPr="00841335">
        <w:rPr>
          <w:rFonts w:ascii="Garamond" w:hAnsi="Garamond"/>
          <w:color w:val="auto"/>
          <w:lang w:eastAsia="en-US"/>
        </w:rPr>
        <w:t>health promotion campaign</w:t>
      </w:r>
      <w:r w:rsidR="00841335" w:rsidRPr="00841335">
        <w:rPr>
          <w:rFonts w:ascii="Garamond" w:hAnsi="Garamond"/>
          <w:color w:val="auto"/>
          <w:lang w:eastAsia="en-US"/>
        </w:rPr>
        <w:t xml:space="preserve">, both locally and nationally. </w:t>
      </w:r>
    </w:p>
    <w:p w:rsidR="00947B38" w:rsidRPr="000B14DE" w:rsidRDefault="00947B38" w:rsidP="00947B38">
      <w:pPr>
        <w:spacing w:line="276" w:lineRule="auto"/>
        <w:rPr>
          <w:rFonts w:ascii="Garamond" w:hAnsi="Garamond"/>
          <w:b/>
          <w:color w:val="auto"/>
          <w:sz w:val="28"/>
          <w:szCs w:val="28"/>
          <w:lang w:eastAsia="en-US"/>
        </w:rPr>
        <w:sectPr w:rsidR="00947B38" w:rsidRPr="000B14DE">
          <w:endnotePr>
            <w:numFmt w:val="decimal"/>
          </w:endnotePr>
          <w:pgSz w:w="11906" w:h="16838" w:code="9"/>
          <w:pgMar w:top="1440" w:right="1077" w:bottom="1440" w:left="1077" w:header="709" w:footer="709" w:gutter="0"/>
          <w:cols w:space="708"/>
          <w:docGrid w:linePitch="360"/>
        </w:sectPr>
      </w:pPr>
    </w:p>
    <w:p w:rsidR="00947B38" w:rsidRPr="005029A6" w:rsidRDefault="00947B38" w:rsidP="005029A6">
      <w:pPr>
        <w:pStyle w:val="Heading1"/>
        <w:numPr>
          <w:ilvl w:val="0"/>
          <w:numId w:val="0"/>
        </w:numPr>
        <w:ind w:left="432" w:hanging="432"/>
        <w:rPr>
          <w:rFonts w:ascii="Garamond" w:hAnsi="Garamond"/>
          <w:lang w:val="en-US" w:eastAsia="en-US"/>
        </w:rPr>
      </w:pPr>
      <w:bookmarkStart w:id="37" w:name="_Toc325554607"/>
      <w:r w:rsidRPr="005029A6">
        <w:rPr>
          <w:rFonts w:ascii="Garamond" w:eastAsia="Calibri" w:hAnsi="Garamond"/>
        </w:rPr>
        <w:t>Appendix 1:</w:t>
      </w:r>
      <w:r w:rsidRPr="005029A6">
        <w:rPr>
          <w:rFonts w:ascii="Garamond" w:hAnsi="Garamond"/>
          <w:lang w:eastAsia="en-US"/>
        </w:rPr>
        <w:t xml:space="preserve"> Scope of Guideline: adapted from the</w:t>
      </w:r>
      <w:r w:rsidRPr="005029A6">
        <w:rPr>
          <w:rFonts w:ascii="Garamond" w:hAnsi="Garamond"/>
          <w:lang w:val="en-US" w:eastAsia="en-US"/>
        </w:rPr>
        <w:t xml:space="preserve"> Civic Government (Scotland) Act 1982 (licensing of skin piercing and tattooing) order 2006: Local Authority implementation Guide</w:t>
      </w:r>
      <w:bookmarkEnd w:id="37"/>
    </w:p>
    <w:p w:rsidR="00947B38" w:rsidRPr="000B14DE" w:rsidRDefault="00947B38" w:rsidP="00947B38">
      <w:pPr>
        <w:spacing w:after="200" w:line="276" w:lineRule="auto"/>
        <w:rPr>
          <w:rFonts w:ascii="Garamond" w:hAnsi="Garamond"/>
          <w:b/>
          <w:color w:val="auto"/>
          <w:sz w:val="28"/>
          <w:szCs w:val="28"/>
          <w:lang w:eastAsia="en-US"/>
        </w:rPr>
      </w:pPr>
      <w:bookmarkStart w:id="38" w:name="_GoBack"/>
      <w:bookmarkEnd w:id="38"/>
    </w:p>
    <w:tbl>
      <w:tblPr>
        <w:tblW w:w="13750" w:type="dxa"/>
        <w:tblInd w:w="108" w:type="dxa"/>
        <w:tblBorders>
          <w:top w:val="single" w:sz="8" w:space="0" w:color="000000"/>
          <w:left w:val="single" w:sz="8" w:space="0" w:color="000000"/>
          <w:bottom w:val="single" w:sz="8" w:space="0" w:color="000000"/>
          <w:right w:val="single" w:sz="8" w:space="0" w:color="000000"/>
        </w:tblBorders>
        <w:tblLayout w:type="fixed"/>
        <w:tblLook w:val="0000"/>
      </w:tblPr>
      <w:tblGrid>
        <w:gridCol w:w="2019"/>
        <w:gridCol w:w="3685"/>
        <w:gridCol w:w="1242"/>
        <w:gridCol w:w="6804"/>
      </w:tblGrid>
      <w:tr w:rsidR="00947B38" w:rsidRPr="000B14DE">
        <w:trPr>
          <w:trHeight w:val="323"/>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rPr>
            </w:pPr>
            <w:r w:rsidRPr="000B14DE">
              <w:rPr>
                <w:rFonts w:ascii="Garamond" w:hAnsi="Garamond" w:cs="Arial"/>
                <w:b/>
                <w:bCs/>
              </w:rPr>
              <w:t xml:space="preserve">Procedure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rPr>
            </w:pPr>
            <w:r w:rsidRPr="000B14DE">
              <w:rPr>
                <w:rFonts w:ascii="Garamond" w:hAnsi="Garamond" w:cs="Arial"/>
                <w:b/>
                <w:bCs/>
              </w:rPr>
              <w:t xml:space="preserve">Description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rPr>
            </w:pPr>
            <w:r w:rsidRPr="000B14DE">
              <w:rPr>
                <w:rFonts w:ascii="Garamond" w:hAnsi="Garamond" w:cs="Arial"/>
                <w:b/>
                <w:bCs/>
              </w:rPr>
              <w:t>Covered?</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b/>
              </w:rPr>
            </w:pPr>
            <w:r w:rsidRPr="000B14DE">
              <w:rPr>
                <w:rFonts w:ascii="Garamond" w:hAnsi="Garamond" w:cs="Arial"/>
                <w:b/>
                <w:bCs/>
              </w:rPr>
              <w:t xml:space="preserve">Notes </w:t>
            </w:r>
          </w:p>
        </w:tc>
      </w:tr>
      <w:tr w:rsidR="00947B38" w:rsidRPr="000B14DE">
        <w:trPr>
          <w:trHeight w:val="508"/>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Acupuncture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Insertion of needles into living tissue for remedial or therapeutic purposes </w:t>
            </w:r>
          </w:p>
        </w:tc>
        <w:tc>
          <w:tcPr>
            <w:tcW w:w="1242"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p>
        </w:tc>
      </w:tr>
      <w:tr w:rsidR="00947B38" w:rsidRPr="000B14DE">
        <w:trPr>
          <w:trHeight w:val="842"/>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Beading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Insertion of beads under skin to create 3-dimensional effect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Could be classed as physical assault and would require police investigation on case-by-case basis </w:t>
            </w:r>
          </w:p>
        </w:tc>
      </w:tr>
      <w:tr w:rsidR="00947B38" w:rsidRPr="000B14DE">
        <w:trPr>
          <w:trHeight w:val="981"/>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Bio skin jetting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Injection of skin below wrinkles to promote formation of new tissue containing young collagen and elastic fibres which fill out the wrinkle </w:t>
            </w:r>
          </w:p>
        </w:tc>
        <w:tc>
          <w:tcPr>
            <w:tcW w:w="1242"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p>
        </w:tc>
      </w:tr>
      <w:tr w:rsidR="00947B38" w:rsidRPr="000B14DE">
        <w:trPr>
          <w:trHeight w:val="872"/>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Botox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Injection of </w:t>
            </w:r>
            <w:r w:rsidRPr="000B14DE">
              <w:rPr>
                <w:rFonts w:ascii="Garamond" w:hAnsi="Garamond" w:cs="Arial"/>
                <w:i/>
                <w:iCs/>
                <w:sz w:val="20"/>
                <w:szCs w:val="20"/>
              </w:rPr>
              <w:t xml:space="preserve">Clostridium botulinum </w:t>
            </w:r>
            <w:r w:rsidRPr="000B14DE">
              <w:rPr>
                <w:rFonts w:ascii="Garamond" w:hAnsi="Garamond" w:cs="Arial"/>
                <w:sz w:val="20"/>
                <w:szCs w:val="20"/>
              </w:rPr>
              <w:t xml:space="preserve">toxin through the skin and into specific muscles to fill out frown lines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Botox not currently licensed for cosmetic use in UK – requires prescription from medical operator </w:t>
            </w:r>
          </w:p>
        </w:tc>
      </w:tr>
      <w:tr w:rsidR="00947B38" w:rsidRPr="000B14DE">
        <w:trPr>
          <w:trHeight w:val="973"/>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Braiding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Form of scarification which involves cutting strips of skin, leaving one end attached, braiding adjacent strips and re-attaching the ends of the strips to skin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Could be classed as physical assault and would require police investigation on case-by-case basis </w:t>
            </w:r>
          </w:p>
        </w:tc>
      </w:tr>
      <w:tr w:rsidR="00947B38" w:rsidRPr="000B14DE">
        <w:trPr>
          <w:trHeight w:val="973"/>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Branding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Form of scarification in which hot metal is used to burn the skin and scar in a desired design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Could be classed as physical assault and would require police investigation on case-by-case basis </w:t>
            </w:r>
          </w:p>
        </w:tc>
      </w:tr>
      <w:tr w:rsidR="00947B38" w:rsidRPr="000B14DE">
        <w:trPr>
          <w:trHeight w:val="690"/>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Chiropody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Treatment of problems associated with the feet and lower limbs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CIEH / Barbour provides best practice guidance on this procedure </w:t>
            </w:r>
          </w:p>
        </w:tc>
      </w:tr>
      <w:tr w:rsidR="00947B38" w:rsidRPr="000B14DE">
        <w:trPr>
          <w:trHeight w:val="684"/>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Collagen Injections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Injection of collagen under creased or sunken areas of the face to plump up and reduce their appearance </w:t>
            </w:r>
          </w:p>
        </w:tc>
        <w:tc>
          <w:tcPr>
            <w:tcW w:w="1242"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p>
        </w:tc>
      </w:tr>
      <w:tr w:rsidR="00947B38" w:rsidRPr="000B14DE">
        <w:trPr>
          <w:trHeight w:val="740"/>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Colon Hydrotherapy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Use of warm water, introduced into the colon via the rectum, to disperse stored waste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CIEH / Barbour provides best practice guidance on this procedure </w:t>
            </w:r>
          </w:p>
        </w:tc>
      </w:tr>
      <w:tr w:rsidR="00947B38" w:rsidRPr="000B14DE">
        <w:trPr>
          <w:trHeight w:val="964"/>
        </w:trPr>
        <w:tc>
          <w:tcPr>
            <w:tcW w:w="2019"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bCs/>
                <w:i/>
              </w:rPr>
            </w:pPr>
            <w:r w:rsidRPr="000B14DE">
              <w:rPr>
                <w:rFonts w:ascii="Garamond" w:hAnsi="Garamond" w:cs="Arial"/>
                <w:b/>
                <w:bCs/>
                <w:i/>
                <w:sz w:val="22"/>
                <w:szCs w:val="22"/>
              </w:rPr>
              <w:t xml:space="preserve">Cutting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A form of scarification which involves cutting or slitting the skin to leave permanent scarring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Could be classed as physical assault and would require police investigation on case-by-case basis </w:t>
            </w:r>
          </w:p>
        </w:tc>
      </w:tr>
      <w:tr w:rsidR="00947B38" w:rsidRPr="000B14DE">
        <w:trPr>
          <w:trHeight w:val="709"/>
        </w:trPr>
        <w:tc>
          <w:tcPr>
            <w:tcW w:w="2019"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bCs/>
                <w:i/>
              </w:rPr>
            </w:pPr>
            <w:r w:rsidRPr="000B14DE">
              <w:rPr>
                <w:rFonts w:ascii="Garamond" w:hAnsi="Garamond" w:cs="Arial"/>
                <w:b/>
                <w:bCs/>
                <w:i/>
                <w:sz w:val="22"/>
                <w:szCs w:val="22"/>
              </w:rPr>
              <w:t xml:space="preserve">Dermal Punches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Surgical instruments used for body modifications and large gauge piercings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Normally large gauge piercings in the cartilage or other part of the body </w:t>
            </w:r>
          </w:p>
        </w:tc>
      </w:tr>
      <w:tr w:rsidR="00947B38" w:rsidRPr="000B14DE">
        <w:trPr>
          <w:trHeight w:val="676"/>
        </w:trPr>
        <w:tc>
          <w:tcPr>
            <w:tcW w:w="2019"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bCs/>
                <w:i/>
              </w:rPr>
            </w:pPr>
            <w:r w:rsidRPr="000B14DE">
              <w:rPr>
                <w:rFonts w:ascii="Garamond" w:hAnsi="Garamond" w:cs="Arial"/>
                <w:b/>
                <w:bCs/>
                <w:i/>
                <w:sz w:val="22"/>
                <w:szCs w:val="22"/>
              </w:rPr>
              <w:t xml:space="preserve">Ear Piercing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Piercing of the ear which could include lobe, upper cartilage, tragus, conch or rook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YES</w:t>
            </w:r>
          </w:p>
        </w:tc>
        <w:tc>
          <w:tcPr>
            <w:tcW w:w="6804"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Order requirements differ for piercing of different parts of the ear using different techniques </w:t>
            </w:r>
          </w:p>
        </w:tc>
      </w:tr>
      <w:tr w:rsidR="00947B38" w:rsidRPr="000B14DE">
        <w:trPr>
          <w:trHeight w:val="984"/>
        </w:trPr>
        <w:tc>
          <w:tcPr>
            <w:tcW w:w="2019"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bCs/>
                <w:i/>
              </w:rPr>
            </w:pPr>
            <w:r w:rsidRPr="000B14DE">
              <w:rPr>
                <w:rFonts w:ascii="Garamond" w:hAnsi="Garamond" w:cs="Arial"/>
                <w:b/>
                <w:bCs/>
                <w:i/>
                <w:sz w:val="22"/>
                <w:szCs w:val="22"/>
              </w:rPr>
              <w:t xml:space="preserve">Earlobe Stretching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Gradual enlargement of an earlobe piercing. Tissue is stretched, micro-tears are formed which are then allowed to heal before further stretching takes place.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p>
        </w:tc>
        <w:tc>
          <w:tcPr>
            <w:tcW w:w="6804"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Can be carried out on piercings at other sites of the body but earlobes are most common </w:t>
            </w:r>
          </w:p>
        </w:tc>
      </w:tr>
      <w:tr w:rsidR="00947B38" w:rsidRPr="000B14DE">
        <w:trPr>
          <w:trHeight w:val="544"/>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Electrolysis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Removal of body hair by electrocution of the hair roots with an electrified needle </w:t>
            </w:r>
          </w:p>
        </w:tc>
        <w:tc>
          <w:tcPr>
            <w:tcW w:w="1242"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p>
        </w:tc>
      </w:tr>
      <w:tr w:rsidR="00947B38" w:rsidRPr="000B14DE">
        <w:trPr>
          <w:trHeight w:val="538"/>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Eyebrow Piercing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Insertion of jewellery through the eyebrow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YES</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Caution required to avoid nerves just below the eyebrow </w:t>
            </w:r>
          </w:p>
        </w:tc>
      </w:tr>
      <w:tr w:rsidR="00947B38" w:rsidRPr="000B14DE">
        <w:trPr>
          <w:trHeight w:val="688"/>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Genital Piercing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Piercing of the clitoral hood, labia, triangle or fochette (females) or glans, foreskin, scrotum or urethra (males)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YES</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Some female piercings may be in contravention of the Prohibition of Female Circumcision Act 1985 </w:t>
            </w:r>
          </w:p>
        </w:tc>
      </w:tr>
      <w:tr w:rsidR="00947B38" w:rsidRPr="000B14DE">
        <w:trPr>
          <w:trHeight w:val="968"/>
        </w:trPr>
        <w:tc>
          <w:tcPr>
            <w:tcW w:w="2019"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bCs/>
                <w:i/>
              </w:rPr>
            </w:pPr>
            <w:r w:rsidRPr="000B14DE">
              <w:rPr>
                <w:rFonts w:ascii="Garamond" w:hAnsi="Garamond" w:cs="Arial"/>
                <w:b/>
                <w:bCs/>
                <w:i/>
                <w:sz w:val="22"/>
                <w:szCs w:val="22"/>
              </w:rPr>
              <w:t xml:space="preserve">Implants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Insertion of 3-dimensional objects under skin to create raised effect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Could be classed as physical assault and would require police investigation on case-by-case basis </w:t>
            </w:r>
          </w:p>
        </w:tc>
      </w:tr>
      <w:tr w:rsidR="00947B38" w:rsidRPr="000B14DE">
        <w:trPr>
          <w:trHeight w:val="556"/>
        </w:trPr>
        <w:tc>
          <w:tcPr>
            <w:tcW w:w="2019"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bCs/>
                <w:i/>
              </w:rPr>
            </w:pPr>
            <w:r w:rsidRPr="000B14DE">
              <w:rPr>
                <w:rFonts w:ascii="Garamond" w:hAnsi="Garamond" w:cs="Arial"/>
                <w:b/>
                <w:bCs/>
                <w:i/>
                <w:sz w:val="22"/>
                <w:szCs w:val="22"/>
              </w:rPr>
              <w:t xml:space="preserve">Lip Piercing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Piercing of upper or lower lip area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YES</w:t>
            </w:r>
          </w:p>
        </w:tc>
        <w:tc>
          <w:tcPr>
            <w:tcW w:w="6804"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Piercing of the coloured part of the lips is not recommended </w:t>
            </w:r>
          </w:p>
        </w:tc>
      </w:tr>
      <w:tr w:rsidR="00947B38" w:rsidRPr="000B14DE">
        <w:trPr>
          <w:trHeight w:val="678"/>
        </w:trPr>
        <w:tc>
          <w:tcPr>
            <w:tcW w:w="2019"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bCs/>
                <w:i/>
              </w:rPr>
            </w:pPr>
            <w:r w:rsidRPr="000B14DE">
              <w:rPr>
                <w:rFonts w:ascii="Garamond" w:hAnsi="Garamond" w:cs="Arial"/>
                <w:b/>
                <w:bCs/>
                <w:i/>
                <w:sz w:val="22"/>
                <w:szCs w:val="22"/>
              </w:rPr>
              <w:t xml:space="preserve">Micro- </w:t>
            </w:r>
          </w:p>
          <w:p w:rsidR="00947B38" w:rsidRPr="000B14DE" w:rsidRDefault="00947B38" w:rsidP="00F2379B">
            <w:pPr>
              <w:jc w:val="both"/>
              <w:rPr>
                <w:rFonts w:ascii="Garamond" w:hAnsi="Garamond" w:cs="Arial"/>
                <w:b/>
                <w:bCs/>
                <w:i/>
              </w:rPr>
            </w:pPr>
            <w:r w:rsidRPr="000B14DE">
              <w:rPr>
                <w:rFonts w:ascii="Garamond" w:hAnsi="Garamond" w:cs="Arial"/>
                <w:b/>
                <w:bCs/>
                <w:i/>
                <w:sz w:val="22"/>
                <w:szCs w:val="22"/>
              </w:rPr>
              <w:t xml:space="preserve">pigmentation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Insertion of semi-permanent dye or pigment into the dermis of the skin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HELA LAC 14/1 provides additional information on this procedure </w:t>
            </w:r>
          </w:p>
        </w:tc>
      </w:tr>
      <w:tr w:rsidR="00947B38" w:rsidRPr="000B14DE">
        <w:trPr>
          <w:trHeight w:val="560"/>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Navel Piercing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Piercing of either the skin surrounding the navel or the umbilicus </w:t>
            </w:r>
          </w:p>
        </w:tc>
        <w:tc>
          <w:tcPr>
            <w:tcW w:w="1242"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YES</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p>
        </w:tc>
      </w:tr>
      <w:tr w:rsidR="00947B38" w:rsidRPr="000B14DE">
        <w:trPr>
          <w:trHeight w:val="682"/>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Nose Piercing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Piercing either through the septum or nostril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YES</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Nose piercing cannot be carried out using dedicated ear piercing guns </w:t>
            </w:r>
          </w:p>
        </w:tc>
      </w:tr>
      <w:tr w:rsidR="00947B38" w:rsidRPr="000B14DE">
        <w:trPr>
          <w:trHeight w:val="961"/>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Scarification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Cutting and peeling of the skin to create permanent scarring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Could be classed as physical assault and would require police investigation on case-by-case basis </w:t>
            </w:r>
          </w:p>
        </w:tc>
      </w:tr>
      <w:tr w:rsidR="00947B38" w:rsidRPr="000B14DE">
        <w:trPr>
          <w:trHeight w:val="973"/>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Stapling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Insertion of metal staples into the skin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NO</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Could be classed as physical assault and would require police investigation on case-by-case basis </w:t>
            </w:r>
          </w:p>
        </w:tc>
      </w:tr>
      <w:tr w:rsidR="00947B38" w:rsidRPr="000B14DE">
        <w:trPr>
          <w:trHeight w:val="689"/>
        </w:trPr>
        <w:tc>
          <w:tcPr>
            <w:tcW w:w="2019" w:type="dxa"/>
            <w:tcBorders>
              <w:top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i/>
              </w:rPr>
            </w:pPr>
            <w:r w:rsidRPr="000B14DE">
              <w:rPr>
                <w:rFonts w:ascii="Garamond" w:hAnsi="Garamond" w:cs="Arial"/>
                <w:b/>
                <w:bCs/>
                <w:i/>
                <w:sz w:val="22"/>
                <w:szCs w:val="22"/>
              </w:rPr>
              <w:t xml:space="preserve">Surface Piercing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Piercing of flat surface skin, typically on the neck or forearms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YES</w:t>
            </w:r>
          </w:p>
        </w:tc>
        <w:tc>
          <w:tcPr>
            <w:tcW w:w="6804" w:type="dxa"/>
            <w:tcBorders>
              <w:top w:val="single" w:sz="8" w:space="0" w:color="000000"/>
              <w:left w:val="single" w:sz="8" w:space="0" w:color="000000"/>
              <w:bottom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Very often rejected by the body – particularly in areas where skin is tight across piercing </w:t>
            </w:r>
          </w:p>
        </w:tc>
      </w:tr>
      <w:tr w:rsidR="00947B38" w:rsidRPr="000B14DE">
        <w:trPr>
          <w:trHeight w:val="982"/>
        </w:trPr>
        <w:tc>
          <w:tcPr>
            <w:tcW w:w="2019"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bCs/>
                <w:i/>
              </w:rPr>
            </w:pPr>
            <w:r w:rsidRPr="000B14DE">
              <w:rPr>
                <w:rFonts w:ascii="Garamond" w:hAnsi="Garamond" w:cs="Arial"/>
                <w:b/>
                <w:bCs/>
                <w:i/>
                <w:sz w:val="22"/>
                <w:szCs w:val="22"/>
              </w:rPr>
              <w:t xml:space="preserve">Tattooing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Insertion of permanent dye or pigment underneath the epidermis of the skin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YES</w:t>
            </w:r>
          </w:p>
        </w:tc>
        <w:tc>
          <w:tcPr>
            <w:tcW w:w="6804"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Definition used within the Order covers both permanent and semi-permanent tattooing (micro pigmentation) </w:t>
            </w:r>
          </w:p>
        </w:tc>
      </w:tr>
      <w:tr w:rsidR="00947B38" w:rsidRPr="000B14DE">
        <w:trPr>
          <w:trHeight w:val="599"/>
        </w:trPr>
        <w:tc>
          <w:tcPr>
            <w:tcW w:w="2019"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b/>
                <w:bCs/>
                <w:i/>
              </w:rPr>
            </w:pPr>
            <w:r w:rsidRPr="000B14DE">
              <w:rPr>
                <w:rFonts w:ascii="Garamond" w:hAnsi="Garamond" w:cs="Arial"/>
                <w:b/>
                <w:bCs/>
                <w:i/>
                <w:sz w:val="22"/>
                <w:szCs w:val="22"/>
              </w:rPr>
              <w:t xml:space="preserve">Tongue Piercing </w:t>
            </w:r>
          </w:p>
        </w:tc>
        <w:tc>
          <w:tcPr>
            <w:tcW w:w="3685"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Piercing of the central area of the tongue </w:t>
            </w:r>
          </w:p>
        </w:tc>
        <w:tc>
          <w:tcPr>
            <w:tcW w:w="1242"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YES</w:t>
            </w:r>
          </w:p>
        </w:tc>
        <w:tc>
          <w:tcPr>
            <w:tcW w:w="6804" w:type="dxa"/>
            <w:tcBorders>
              <w:top w:val="single" w:sz="8" w:space="0" w:color="000000"/>
              <w:left w:val="single" w:sz="8" w:space="0" w:color="000000"/>
              <w:bottom w:val="single" w:sz="8" w:space="0" w:color="000000"/>
              <w:right w:val="single" w:sz="8" w:space="0" w:color="000000"/>
            </w:tcBorders>
          </w:tcPr>
          <w:p w:rsidR="00947B38" w:rsidRPr="000B14DE" w:rsidRDefault="00947B38" w:rsidP="00F2379B">
            <w:pPr>
              <w:jc w:val="both"/>
              <w:rPr>
                <w:rFonts w:ascii="Garamond" w:hAnsi="Garamond" w:cs="Arial"/>
                <w:sz w:val="20"/>
                <w:szCs w:val="20"/>
              </w:rPr>
            </w:pPr>
            <w:r w:rsidRPr="000B14DE">
              <w:rPr>
                <w:rFonts w:ascii="Garamond" w:hAnsi="Garamond" w:cs="Arial"/>
                <w:sz w:val="20"/>
                <w:szCs w:val="20"/>
              </w:rPr>
              <w:t xml:space="preserve">Caution is required to avoid major blood </w:t>
            </w:r>
          </w:p>
        </w:tc>
      </w:tr>
    </w:tbl>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5029A6" w:rsidRDefault="005029A6" w:rsidP="005029A6">
      <w:pPr>
        <w:pStyle w:val="Heading1"/>
        <w:numPr>
          <w:ilvl w:val="0"/>
          <w:numId w:val="0"/>
        </w:numPr>
        <w:ind w:left="432" w:hanging="432"/>
        <w:rPr>
          <w:rFonts w:ascii="Garamond" w:hAnsi="Garamond"/>
          <w:szCs w:val="28"/>
        </w:rPr>
      </w:pPr>
      <w:bookmarkStart w:id="39" w:name="_Toc325554608"/>
      <w:r w:rsidRPr="005029A6">
        <w:rPr>
          <w:rFonts w:ascii="Garamond" w:hAnsi="Garamond"/>
          <w:szCs w:val="28"/>
        </w:rPr>
        <w:t>Appendix 2: Search T</w:t>
      </w:r>
      <w:r w:rsidR="00947B38" w:rsidRPr="005029A6">
        <w:rPr>
          <w:rFonts w:ascii="Garamond" w:hAnsi="Garamond"/>
          <w:szCs w:val="28"/>
        </w:rPr>
        <w:t>erms</w:t>
      </w:r>
      <w:bookmarkEnd w:id="39"/>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before="154"/>
        <w:jc w:val="center"/>
        <w:rPr>
          <w:rFonts w:ascii="Garamond" w:hAnsi="Garamond"/>
          <w:color w:val="auto"/>
        </w:rPr>
      </w:pPr>
      <w:r w:rsidRPr="000B14DE">
        <w:rPr>
          <w:rFonts w:ascii="Garamond" w:hAnsi="Garamond"/>
          <w:b/>
          <w:bCs/>
          <w:color w:val="898989"/>
          <w:kern w:val="24"/>
          <w:sz w:val="64"/>
          <w:szCs w:val="64"/>
        </w:rPr>
        <w:t xml:space="preserve">(Blood borne virus or blood borne disease or hiv or hepatitis b or hepatitis c) </w:t>
      </w:r>
      <w:r w:rsidRPr="000B14DE">
        <w:rPr>
          <w:rFonts w:ascii="Garamond" w:hAnsi="Garamond"/>
          <w:color w:val="898989"/>
          <w:kern w:val="24"/>
          <w:sz w:val="64"/>
          <w:szCs w:val="64"/>
        </w:rPr>
        <w:t xml:space="preserve">and </w:t>
      </w:r>
      <w:r w:rsidRPr="000B14DE">
        <w:rPr>
          <w:rFonts w:ascii="Garamond" w:hAnsi="Garamond"/>
          <w:b/>
          <w:bCs/>
          <w:color w:val="898989"/>
          <w:kern w:val="24"/>
          <w:sz w:val="64"/>
          <w:szCs w:val="64"/>
        </w:rPr>
        <w:t>(tattoo* or body pierc* or tattooing or body art*</w:t>
      </w:r>
      <w:r w:rsidRPr="000B14DE">
        <w:rPr>
          <w:rFonts w:ascii="Garamond" w:hAnsi="Garamond"/>
          <w:color w:val="898989"/>
          <w:kern w:val="24"/>
          <w:sz w:val="64"/>
          <w:szCs w:val="64"/>
        </w:rPr>
        <w:t xml:space="preserve">) and </w:t>
      </w:r>
      <w:r w:rsidRPr="000B14DE">
        <w:rPr>
          <w:rFonts w:ascii="Garamond" w:hAnsi="Garamond"/>
          <w:b/>
          <w:bCs/>
          <w:color w:val="898989"/>
          <w:kern w:val="24"/>
          <w:sz w:val="64"/>
          <w:szCs w:val="64"/>
        </w:rPr>
        <w:t>(complications)</w:t>
      </w:r>
      <w:r w:rsidRPr="000B14DE">
        <w:rPr>
          <w:rFonts w:ascii="Garamond" w:hAnsi="Garamond"/>
          <w:color w:val="898989"/>
          <w:kern w:val="24"/>
          <w:sz w:val="64"/>
          <w:szCs w:val="64"/>
        </w:rPr>
        <w:t xml:space="preserve"> and </w:t>
      </w:r>
      <w:r w:rsidRPr="000B14DE">
        <w:rPr>
          <w:rFonts w:ascii="Garamond" w:hAnsi="Garamond"/>
          <w:b/>
          <w:bCs/>
          <w:color w:val="898989"/>
          <w:kern w:val="24"/>
          <w:sz w:val="64"/>
          <w:szCs w:val="64"/>
        </w:rPr>
        <w:t>(prevalence)</w:t>
      </w:r>
      <w:r w:rsidRPr="000B14DE">
        <w:rPr>
          <w:rFonts w:ascii="Garamond" w:hAnsi="Garamond"/>
          <w:color w:val="898989"/>
          <w:kern w:val="24"/>
          <w:sz w:val="64"/>
          <w:szCs w:val="64"/>
        </w:rPr>
        <w:t xml:space="preserve"> and </w:t>
      </w:r>
      <w:r w:rsidRPr="000B14DE">
        <w:rPr>
          <w:rFonts w:ascii="Garamond" w:hAnsi="Garamond"/>
          <w:b/>
          <w:bCs/>
          <w:color w:val="898989"/>
          <w:kern w:val="24"/>
          <w:sz w:val="64"/>
          <w:szCs w:val="64"/>
        </w:rPr>
        <w:t>(transmission)</w:t>
      </w:r>
      <w:r w:rsidRPr="000B14DE">
        <w:rPr>
          <w:rFonts w:ascii="Garamond" w:hAnsi="Garamond"/>
          <w:color w:val="898989"/>
          <w:kern w:val="24"/>
          <w:sz w:val="64"/>
          <w:szCs w:val="64"/>
        </w:rPr>
        <w:t xml:space="preserve"> and </w:t>
      </w:r>
      <w:r w:rsidRPr="000B14DE">
        <w:rPr>
          <w:rFonts w:ascii="Garamond" w:hAnsi="Garamond"/>
          <w:b/>
          <w:bCs/>
          <w:color w:val="898989"/>
          <w:kern w:val="24"/>
          <w:sz w:val="64"/>
          <w:szCs w:val="64"/>
        </w:rPr>
        <w:t xml:space="preserve">(operational standards) </w:t>
      </w:r>
      <w:r w:rsidRPr="000B14DE">
        <w:rPr>
          <w:rFonts w:ascii="Garamond" w:hAnsi="Garamond"/>
          <w:color w:val="898989"/>
          <w:kern w:val="24"/>
          <w:sz w:val="64"/>
          <w:szCs w:val="64"/>
        </w:rPr>
        <w:t xml:space="preserve">and </w:t>
      </w:r>
      <w:r w:rsidRPr="000B14DE">
        <w:rPr>
          <w:rFonts w:ascii="Garamond" w:hAnsi="Garamond"/>
          <w:b/>
          <w:bCs/>
          <w:color w:val="898989"/>
          <w:kern w:val="24"/>
          <w:sz w:val="64"/>
          <w:szCs w:val="64"/>
        </w:rPr>
        <w:t xml:space="preserve">(risk) </w:t>
      </w:r>
      <w:r w:rsidRPr="000B14DE">
        <w:rPr>
          <w:rFonts w:ascii="Garamond" w:hAnsi="Garamond"/>
          <w:color w:val="898989"/>
          <w:kern w:val="24"/>
          <w:sz w:val="64"/>
          <w:szCs w:val="64"/>
        </w:rPr>
        <w:t xml:space="preserve">and </w:t>
      </w:r>
      <w:r w:rsidRPr="000B14DE">
        <w:rPr>
          <w:rFonts w:ascii="Garamond" w:hAnsi="Garamond"/>
          <w:b/>
          <w:bCs/>
          <w:color w:val="898989"/>
          <w:kern w:val="24"/>
          <w:sz w:val="64"/>
          <w:szCs w:val="64"/>
        </w:rPr>
        <w:t xml:space="preserve">(infection) </w:t>
      </w:r>
      <w:r w:rsidRPr="000B14DE">
        <w:rPr>
          <w:rFonts w:ascii="Garamond" w:hAnsi="Garamond"/>
          <w:color w:val="898989"/>
          <w:kern w:val="24"/>
          <w:sz w:val="64"/>
          <w:szCs w:val="64"/>
        </w:rPr>
        <w:t xml:space="preserve">and </w:t>
      </w:r>
      <w:r w:rsidRPr="000B14DE">
        <w:rPr>
          <w:rFonts w:ascii="Garamond" w:hAnsi="Garamond"/>
          <w:b/>
          <w:bCs/>
          <w:color w:val="898989"/>
          <w:kern w:val="24"/>
          <w:sz w:val="64"/>
          <w:szCs w:val="64"/>
        </w:rPr>
        <w:t xml:space="preserve">(national policies) </w:t>
      </w:r>
      <w:r w:rsidRPr="000B14DE">
        <w:rPr>
          <w:rFonts w:ascii="Garamond" w:hAnsi="Garamond"/>
          <w:color w:val="898989"/>
          <w:kern w:val="24"/>
          <w:sz w:val="64"/>
          <w:szCs w:val="64"/>
        </w:rPr>
        <w:t xml:space="preserve">or </w:t>
      </w:r>
      <w:r w:rsidRPr="000B14DE">
        <w:rPr>
          <w:rFonts w:ascii="Garamond" w:hAnsi="Garamond"/>
          <w:b/>
          <w:bCs/>
          <w:color w:val="898989"/>
          <w:kern w:val="24"/>
          <w:sz w:val="64"/>
          <w:szCs w:val="64"/>
        </w:rPr>
        <w:t>(international policies)</w:t>
      </w:r>
      <w:r w:rsidRPr="000B14DE">
        <w:rPr>
          <w:rFonts w:ascii="Garamond" w:eastAsia="+mn-ea" w:hAnsi="Garamond" w:cs="+mn-cs"/>
          <w:b/>
          <w:bCs/>
          <w:color w:val="898989"/>
          <w:kern w:val="24"/>
          <w:sz w:val="64"/>
          <w:szCs w:val="64"/>
        </w:rPr>
        <w:t xml:space="preserve"> </w:t>
      </w: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0B14DE" w:rsidRDefault="00947B38" w:rsidP="00947B38">
      <w:pPr>
        <w:spacing w:after="200" w:line="276" w:lineRule="auto"/>
        <w:rPr>
          <w:rFonts w:ascii="Garamond" w:hAnsi="Garamond"/>
          <w:b/>
          <w:color w:val="auto"/>
          <w:sz w:val="28"/>
          <w:szCs w:val="28"/>
          <w:lang w:eastAsia="en-US"/>
        </w:rPr>
      </w:pPr>
    </w:p>
    <w:p w:rsidR="00947B38" w:rsidRPr="005029A6" w:rsidRDefault="00947B38" w:rsidP="005029A6">
      <w:pPr>
        <w:pStyle w:val="Heading1"/>
        <w:numPr>
          <w:ilvl w:val="0"/>
          <w:numId w:val="0"/>
        </w:numPr>
        <w:rPr>
          <w:rFonts w:ascii="Garamond" w:hAnsi="Garamond"/>
          <w:lang w:eastAsia="en-US"/>
        </w:rPr>
      </w:pPr>
      <w:bookmarkStart w:id="40" w:name="_Toc325554609"/>
      <w:r w:rsidRPr="005029A6">
        <w:rPr>
          <w:rFonts w:ascii="Garamond" w:hAnsi="Garamond"/>
          <w:lang w:eastAsia="en-US"/>
        </w:rPr>
        <w:t>Appendix 3: List of guidelines, within and outside</w:t>
      </w:r>
      <w:r w:rsidR="005029A6" w:rsidRPr="005029A6">
        <w:rPr>
          <w:rFonts w:ascii="Garamond" w:hAnsi="Garamond"/>
          <w:lang w:eastAsia="en-US"/>
        </w:rPr>
        <w:t xml:space="preserve"> the UK, identified</w:t>
      </w:r>
      <w:r w:rsidRPr="005029A6">
        <w:rPr>
          <w:rFonts w:ascii="Garamond" w:hAnsi="Garamond"/>
          <w:lang w:eastAsia="en-US"/>
        </w:rPr>
        <w:t>.</w:t>
      </w:r>
      <w:bookmarkEnd w:id="40"/>
      <w:r w:rsidRPr="005029A6">
        <w:rPr>
          <w:rFonts w:ascii="Garamond" w:hAnsi="Garamond"/>
          <w:lang w:eastAsia="en-US"/>
        </w:rPr>
        <w:t xml:space="preserve"> </w:t>
      </w:r>
    </w:p>
    <w:tbl>
      <w:tblPr>
        <w:tblpPr w:leftFromText="180" w:rightFromText="180" w:vertAnchor="page" w:tblpY="2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21"/>
        <w:gridCol w:w="9095"/>
      </w:tblGrid>
      <w:tr w:rsidR="00947B38" w:rsidRPr="000B14DE">
        <w:trPr>
          <w:trHeight w:val="411"/>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 xml:space="preserve">Author </w:t>
            </w:r>
          </w:p>
          <w:p w:rsidR="00947B38" w:rsidRPr="000B14DE" w:rsidRDefault="00947B38" w:rsidP="00F2379B">
            <w:pPr>
              <w:jc w:val="both"/>
              <w:rPr>
                <w:rFonts w:ascii="Garamond" w:hAnsi="Garamond"/>
                <w:color w:val="auto"/>
                <w:lang w:eastAsia="en-US"/>
              </w:rPr>
            </w:pPr>
          </w:p>
        </w:tc>
        <w:tc>
          <w:tcPr>
            <w:tcW w:w="9095" w:type="dxa"/>
            <w:tcBorders>
              <w:lef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Guidelines</w:t>
            </w:r>
          </w:p>
        </w:tc>
      </w:tr>
      <w:tr w:rsidR="00947B38" w:rsidRPr="000B14DE">
        <w:trPr>
          <w:trHeight w:val="1481"/>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Working Party of London Consultants in Communicable Disease Control and Community Infection Control Nurse (2002)</w:t>
            </w:r>
          </w:p>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 xml:space="preserve">(Revised by Bernadette Whiteman-Hoyte/ London  Special Treatment Nurses’ group in  October 2011)                                                                                    </w:t>
            </w:r>
          </w:p>
          <w:p w:rsidR="00947B38" w:rsidRPr="000B14DE" w:rsidRDefault="00947B38" w:rsidP="00F2379B">
            <w:pPr>
              <w:jc w:val="both"/>
              <w:rPr>
                <w:rFonts w:ascii="Garamond" w:hAnsi="Garamond"/>
                <w:color w:val="auto"/>
                <w:lang w:eastAsia="en-US"/>
              </w:rPr>
            </w:pPr>
          </w:p>
        </w:tc>
        <w:tc>
          <w:tcPr>
            <w:tcW w:w="9095" w:type="dxa"/>
            <w:tcBorders>
              <w:lef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 xml:space="preserve">Guidelines for the control of infection in special treatments {tattoo, body piercing, micro pigmentation, acupuncture and beauty therapy} </w:t>
            </w:r>
          </w:p>
          <w:p w:rsidR="00947B38" w:rsidRPr="000B14DE" w:rsidRDefault="00947B38" w:rsidP="00F2379B">
            <w:pPr>
              <w:jc w:val="both"/>
              <w:rPr>
                <w:rFonts w:ascii="Garamond" w:hAnsi="Garamond"/>
                <w:color w:val="auto"/>
                <w:lang w:eastAsia="en-US"/>
              </w:rPr>
            </w:pP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Essex Health Protection Unit revised February 2010</w:t>
            </w:r>
          </w:p>
          <w:p w:rsidR="00947B38" w:rsidRPr="000B14DE" w:rsidRDefault="00947B38" w:rsidP="00F2379B">
            <w:pPr>
              <w:jc w:val="both"/>
              <w:rPr>
                <w:rFonts w:ascii="Garamond" w:hAnsi="Garamond"/>
                <w:color w:val="auto"/>
                <w:lang w:eastAsia="en-US"/>
              </w:rPr>
            </w:pPr>
          </w:p>
        </w:tc>
        <w:tc>
          <w:tcPr>
            <w:tcW w:w="9095" w:type="dxa"/>
            <w:tcBorders>
              <w:lef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bCs/>
                <w:color w:val="auto"/>
                <w:sz w:val="22"/>
                <w:szCs w:val="22"/>
                <w:lang w:eastAsia="en-US"/>
              </w:rPr>
              <w:t xml:space="preserve">Infection control guidelines </w:t>
            </w:r>
          </w:p>
          <w:p w:rsidR="00947B38" w:rsidRPr="000B14DE" w:rsidRDefault="00947B38" w:rsidP="00F2379B">
            <w:pPr>
              <w:jc w:val="both"/>
              <w:rPr>
                <w:rFonts w:ascii="Garamond" w:hAnsi="Garamond"/>
                <w:color w:val="auto"/>
                <w:lang w:eastAsia="en-US"/>
              </w:rPr>
            </w:pPr>
            <w:r w:rsidRPr="000B14DE">
              <w:rPr>
                <w:rFonts w:ascii="Garamond" w:hAnsi="Garamond"/>
                <w:bCs/>
                <w:color w:val="auto"/>
                <w:sz w:val="22"/>
                <w:szCs w:val="22"/>
                <w:lang w:eastAsia="en-US"/>
              </w:rPr>
              <w:t>for tattooists, body piercers and acupuncturists</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Dartford Borough Council 2009</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Code of practice for hygienic skin piercing</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bCs/>
                <w:color w:val="auto"/>
                <w:sz w:val="22"/>
                <w:szCs w:val="22"/>
                <w:lang w:eastAsia="en-US"/>
              </w:rPr>
              <w:t>Health and Safety Executive (HSE) 21.08.06</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 xml:space="preserve">LAC 14-1 Micro pigmentation, semi-permanent tattooing and semi-permanent make up  </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bCs/>
                <w:color w:val="auto"/>
                <w:sz w:val="22"/>
                <w:szCs w:val="22"/>
                <w:lang w:eastAsia="en-US"/>
              </w:rPr>
              <w:t>Health and Safety Executive (HSE) April 2005</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 xml:space="preserve">LAC 76-2 Enforcement of skin piercing activities -tattoo </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Wandsworth Collaborative Body Piercing Working group-March 2003</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Body piercing - aftercare advice sheet</w:t>
            </w:r>
          </w:p>
        </w:tc>
      </w:tr>
      <w:tr w:rsidR="00947B38" w:rsidRPr="000B14DE">
        <w:trPr>
          <w:trHeight w:val="567"/>
        </w:trPr>
        <w:tc>
          <w:tcPr>
            <w:tcW w:w="4621" w:type="dxa"/>
            <w:tcBorders>
              <w:right w:val="single" w:sz="4" w:space="0" w:color="auto"/>
            </w:tcBorders>
          </w:tcPr>
          <w:p w:rsidR="00947B38" w:rsidRPr="000B14DE" w:rsidRDefault="00947B38" w:rsidP="00AF2206">
            <w:pPr>
              <w:jc w:val="both"/>
              <w:rPr>
                <w:rFonts w:ascii="Garamond" w:hAnsi="Garamond"/>
                <w:color w:val="auto"/>
                <w:lang w:eastAsia="en-US"/>
              </w:rPr>
            </w:pPr>
            <w:r w:rsidRPr="000B14DE">
              <w:rPr>
                <w:rFonts w:ascii="Garamond" w:hAnsi="Garamond"/>
                <w:color w:val="auto"/>
                <w:sz w:val="22"/>
                <w:szCs w:val="22"/>
                <w:lang w:eastAsia="en-US"/>
              </w:rPr>
              <w:t>MSW Collaborative Special Treatment Working Group-July 2002</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Tattoo/body piercing consent form</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MSW Collaborative Special Treatment Working Group-July 2002</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New tattoo aftercare advice sheet</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HPA , London</w:t>
            </w:r>
          </w:p>
        </w:tc>
        <w:tc>
          <w:tcPr>
            <w:tcW w:w="9095" w:type="dxa"/>
            <w:tcBorders>
              <w:lef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LA officer checklist assessment for tattooist and body piercing premises in London prior to commencing service provision</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bCs/>
                <w:iCs/>
                <w:color w:val="auto"/>
                <w:sz w:val="22"/>
                <w:szCs w:val="22"/>
                <w:lang w:eastAsia="en-US"/>
              </w:rPr>
              <w:t>South West London Health Protection Unit</w:t>
            </w:r>
          </w:p>
        </w:tc>
        <w:tc>
          <w:tcPr>
            <w:tcW w:w="9095" w:type="dxa"/>
            <w:tcBorders>
              <w:lef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color w:val="auto"/>
                <w:sz w:val="22"/>
                <w:szCs w:val="22"/>
                <w:lang w:eastAsia="en-US"/>
              </w:rPr>
              <w:t>Checklist assessment for tattooist and body piercing premises in SW London sector prior to commencing service provision</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color w:val="auto"/>
                <w:lang w:eastAsia="en-US"/>
              </w:rPr>
            </w:pPr>
            <w:r w:rsidRPr="000B14DE">
              <w:rPr>
                <w:rFonts w:ascii="Garamond" w:hAnsi="Garamond"/>
                <w:bCs/>
                <w:iCs/>
                <w:color w:val="auto"/>
                <w:sz w:val="22"/>
                <w:szCs w:val="22"/>
                <w:lang w:eastAsia="en-US"/>
              </w:rPr>
              <w:t>South West London Health Protection Unit</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Audit tool for infection control assessment of tattoo/ piercing licensed premises</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bCs/>
                <w:iCs/>
                <w:color w:val="auto"/>
                <w:lang w:eastAsia="en-US"/>
              </w:rPr>
            </w:pPr>
            <w:r w:rsidRPr="000B14DE">
              <w:rPr>
                <w:rFonts w:ascii="Garamond" w:hAnsi="Garamond"/>
                <w:bCs/>
                <w:iCs/>
                <w:color w:val="auto"/>
                <w:sz w:val="22"/>
                <w:szCs w:val="22"/>
                <w:lang w:eastAsia="en-US"/>
              </w:rPr>
              <w:t xml:space="preserve">Alan Beswick and </w:t>
            </w:r>
            <w:r w:rsidRPr="000B14DE">
              <w:rPr>
                <w:rFonts w:ascii="Garamond" w:hAnsi="Garamond"/>
                <w:color w:val="auto"/>
                <w:sz w:val="22"/>
                <w:szCs w:val="22"/>
                <w:lang w:eastAsia="en-US"/>
              </w:rPr>
              <w:t xml:space="preserve"> </w:t>
            </w:r>
            <w:r w:rsidRPr="000B14DE">
              <w:rPr>
                <w:rFonts w:ascii="Garamond" w:hAnsi="Garamond"/>
                <w:bCs/>
                <w:iCs/>
                <w:color w:val="auto"/>
                <w:sz w:val="22"/>
                <w:szCs w:val="22"/>
                <w:lang w:eastAsia="en-US"/>
              </w:rPr>
              <w:t>Calderdale Council</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Acupuncture and skin piercing licences</w:t>
            </w:r>
          </w:p>
          <w:p w:rsidR="00947B38" w:rsidRPr="000B14DE" w:rsidRDefault="000A7D09" w:rsidP="00F2379B">
            <w:pPr>
              <w:jc w:val="both"/>
              <w:rPr>
                <w:rFonts w:ascii="Garamond" w:hAnsi="Garamond"/>
                <w:bCs/>
                <w:color w:val="auto"/>
                <w:lang w:eastAsia="en-US"/>
              </w:rPr>
            </w:pPr>
            <w:hyperlink r:id="rId14" w:history="1">
              <w:r w:rsidR="00947B38" w:rsidRPr="000B14DE">
                <w:rPr>
                  <w:rStyle w:val="Hyperlink"/>
                  <w:rFonts w:ascii="Garamond" w:hAnsi="Garamond"/>
                  <w:bCs/>
                  <w:sz w:val="22"/>
                  <w:szCs w:val="22"/>
                  <w:lang w:eastAsia="en-US"/>
                </w:rPr>
                <w:t>http://www.calderdale.gov.uk/business/licences/skinpiercing/index.html</w:t>
              </w:r>
            </w:hyperlink>
          </w:p>
          <w:p w:rsidR="00947B38" w:rsidRPr="000B14DE" w:rsidRDefault="00947B38" w:rsidP="00F2379B">
            <w:pPr>
              <w:jc w:val="both"/>
              <w:rPr>
                <w:rFonts w:ascii="Garamond" w:hAnsi="Garamond"/>
                <w:bCs/>
                <w:color w:val="auto"/>
                <w:lang w:eastAsia="en-US"/>
              </w:rPr>
            </w:pPr>
          </w:p>
        </w:tc>
      </w:tr>
      <w:tr w:rsidR="00947B38" w:rsidRPr="000B14DE">
        <w:trPr>
          <w:trHeight w:val="567"/>
        </w:trPr>
        <w:tc>
          <w:tcPr>
            <w:tcW w:w="4621" w:type="dxa"/>
            <w:tcBorders>
              <w:right w:val="single" w:sz="4" w:space="0" w:color="auto"/>
            </w:tcBorders>
          </w:tcPr>
          <w:p w:rsidR="00947B38" w:rsidRPr="000B14DE" w:rsidRDefault="00947B38" w:rsidP="00AF2206">
            <w:pPr>
              <w:jc w:val="both"/>
              <w:rPr>
                <w:rFonts w:ascii="Garamond" w:hAnsi="Garamond"/>
                <w:bCs/>
                <w:iCs/>
                <w:color w:val="auto"/>
                <w:lang w:eastAsia="en-US"/>
              </w:rPr>
            </w:pPr>
            <w:r w:rsidRPr="000B14DE">
              <w:rPr>
                <w:rFonts w:ascii="Garamond" w:hAnsi="Garamond"/>
                <w:bCs/>
                <w:iCs/>
                <w:color w:val="auto"/>
                <w:sz w:val="22"/>
                <w:szCs w:val="22"/>
                <w:lang w:eastAsia="en-US"/>
              </w:rPr>
              <w:t>ACDP Guidelines</w:t>
            </w:r>
          </w:p>
        </w:tc>
        <w:tc>
          <w:tcPr>
            <w:tcW w:w="9095" w:type="dxa"/>
            <w:tcBorders>
              <w:left w:val="single" w:sz="4" w:space="0" w:color="auto"/>
            </w:tcBorders>
          </w:tcPr>
          <w:p w:rsidR="00947B38" w:rsidRPr="000B14DE" w:rsidRDefault="00947B38" w:rsidP="00F2379B">
            <w:pPr>
              <w:jc w:val="both"/>
              <w:rPr>
                <w:rFonts w:ascii="Garamond" w:hAnsi="Garamond"/>
                <w:bCs/>
                <w:color w:val="auto"/>
                <w:u w:val="single"/>
                <w:lang w:eastAsia="en-US"/>
              </w:rPr>
            </w:pPr>
            <w:r w:rsidRPr="000B14DE">
              <w:rPr>
                <w:rFonts w:ascii="Garamond" w:hAnsi="Garamond"/>
                <w:bCs/>
                <w:color w:val="auto"/>
                <w:sz w:val="22"/>
                <w:szCs w:val="22"/>
                <w:u w:val="single"/>
                <w:lang w:eastAsia="en-US"/>
              </w:rPr>
              <w:t xml:space="preserve">Prevention of infections including BBV in the work place.  Not published yet.  </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bCs/>
                <w:iCs/>
                <w:color w:val="auto"/>
                <w:lang w:eastAsia="en-US"/>
              </w:rPr>
            </w:pPr>
            <w:r w:rsidRPr="000B14DE">
              <w:rPr>
                <w:rFonts w:ascii="Garamond" w:hAnsi="Garamond"/>
                <w:bCs/>
                <w:iCs/>
                <w:color w:val="auto"/>
                <w:sz w:val="22"/>
                <w:szCs w:val="22"/>
                <w:lang w:eastAsia="en-US"/>
              </w:rPr>
              <w:t xml:space="preserve">Papameletiou D, Zemié A, Schwela D, Baumler W. </w:t>
            </w:r>
            <w:r w:rsidRPr="000B14DE">
              <w:rPr>
                <w:rFonts w:ascii="Garamond" w:hAnsi="Garamond"/>
                <w:bCs/>
                <w:i/>
                <w:iCs/>
                <w:color w:val="auto"/>
                <w:sz w:val="22"/>
                <w:szCs w:val="22"/>
                <w:lang w:eastAsia="en-US"/>
              </w:rPr>
              <w:t>Risks and Health Effects from Tattoos, Body Piercing and Related Practices</w:t>
            </w:r>
            <w:r w:rsidRPr="000B14DE">
              <w:rPr>
                <w:rFonts w:ascii="Garamond" w:hAnsi="Garamond"/>
                <w:bCs/>
                <w:iCs/>
                <w:color w:val="auto"/>
                <w:sz w:val="22"/>
                <w:szCs w:val="22"/>
                <w:lang w:eastAsia="en-US"/>
              </w:rPr>
              <w:t>.</w:t>
            </w:r>
            <w:r w:rsidRPr="000B14DE">
              <w:rPr>
                <w:rFonts w:ascii="Garamond" w:hAnsi="Garamond"/>
                <w:bCs/>
                <w:i/>
                <w:iCs/>
                <w:color w:val="auto"/>
                <w:sz w:val="22"/>
                <w:szCs w:val="22"/>
                <w:lang w:eastAsia="en-US"/>
              </w:rPr>
              <w:t xml:space="preserve"> </w:t>
            </w:r>
            <w:r w:rsidRPr="000B14DE">
              <w:rPr>
                <w:rFonts w:ascii="Garamond" w:hAnsi="Garamond"/>
                <w:bCs/>
                <w:iCs/>
                <w:color w:val="auto"/>
                <w:sz w:val="22"/>
                <w:szCs w:val="22"/>
                <w:lang w:eastAsia="en-US"/>
              </w:rPr>
              <w:t>Atti del Workshop Technical/scientific and regulatory issues</w:t>
            </w:r>
            <w:r w:rsidRPr="000B14DE">
              <w:rPr>
                <w:rFonts w:ascii="Garamond" w:hAnsi="Garamond"/>
                <w:bCs/>
                <w:i/>
                <w:iCs/>
                <w:color w:val="auto"/>
                <w:sz w:val="22"/>
                <w:szCs w:val="22"/>
                <w:lang w:eastAsia="en-US"/>
              </w:rPr>
              <w:t xml:space="preserve"> </w:t>
            </w:r>
            <w:r w:rsidRPr="000B14DE">
              <w:rPr>
                <w:rFonts w:ascii="Garamond" w:hAnsi="Garamond"/>
                <w:bCs/>
                <w:iCs/>
                <w:color w:val="auto"/>
                <w:sz w:val="22"/>
                <w:szCs w:val="22"/>
                <w:lang w:eastAsia="en-US"/>
              </w:rPr>
              <w:t>on the safety of tattoos, body piercing and of related practices.</w:t>
            </w:r>
            <w:r w:rsidRPr="000B14DE">
              <w:rPr>
                <w:rFonts w:ascii="Garamond" w:hAnsi="Garamond"/>
                <w:bCs/>
                <w:i/>
                <w:iCs/>
                <w:color w:val="auto"/>
                <w:sz w:val="22"/>
                <w:szCs w:val="22"/>
                <w:lang w:eastAsia="en-US"/>
              </w:rPr>
              <w:t xml:space="preserve"> </w:t>
            </w:r>
            <w:r w:rsidRPr="000B14DE">
              <w:rPr>
                <w:rFonts w:ascii="Garamond" w:hAnsi="Garamond"/>
                <w:bCs/>
                <w:iCs/>
                <w:color w:val="auto"/>
                <w:sz w:val="22"/>
                <w:szCs w:val="22"/>
                <w:lang w:eastAsia="en-US"/>
              </w:rPr>
              <w:t>European Commision, Directorate General, Joint Research</w:t>
            </w:r>
            <w:r w:rsidRPr="000B14DE">
              <w:rPr>
                <w:rFonts w:ascii="Garamond" w:hAnsi="Garamond"/>
                <w:bCs/>
                <w:i/>
                <w:iCs/>
                <w:color w:val="auto"/>
                <w:sz w:val="22"/>
                <w:szCs w:val="22"/>
                <w:lang w:eastAsia="en-US"/>
              </w:rPr>
              <w:t xml:space="preserve"> </w:t>
            </w:r>
            <w:r w:rsidRPr="000B14DE">
              <w:rPr>
                <w:rFonts w:ascii="Garamond" w:hAnsi="Garamond"/>
                <w:bCs/>
                <w:iCs/>
                <w:color w:val="auto"/>
                <w:sz w:val="22"/>
                <w:szCs w:val="22"/>
                <w:lang w:eastAsia="en-US"/>
              </w:rPr>
              <w:t>Center. Ispra 6-7 Maggio 2003.</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Regulatory Review in the EU</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bCs/>
                <w:iCs/>
                <w:color w:val="auto"/>
                <w:lang w:eastAsia="en-US"/>
              </w:rPr>
            </w:pPr>
            <w:r w:rsidRPr="000B14DE">
              <w:rPr>
                <w:rFonts w:ascii="Garamond" w:hAnsi="Garamond"/>
                <w:bCs/>
                <w:iCs/>
                <w:color w:val="auto"/>
                <w:sz w:val="22"/>
                <w:szCs w:val="22"/>
                <w:lang w:eastAsia="en-US"/>
              </w:rPr>
              <w:t>Queensland Government, Queensland Health (2007)</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Public Health (Infection Control for Personal Appearance Services)Act  2003- A Guide for Local Governments</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bCs/>
                <w:iCs/>
                <w:color w:val="auto"/>
                <w:lang w:eastAsia="en-US"/>
              </w:rPr>
            </w:pPr>
            <w:r w:rsidRPr="000B14DE">
              <w:rPr>
                <w:rFonts w:ascii="Garamond" w:hAnsi="Garamond"/>
                <w:bCs/>
                <w:iCs/>
                <w:color w:val="auto"/>
                <w:sz w:val="22"/>
                <w:szCs w:val="22"/>
                <w:lang w:eastAsia="en-US"/>
              </w:rPr>
              <w:t>Alberta Health and Wellness, Canada (2002)</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Health Standards and Guidelines for Tattooing</w:t>
            </w:r>
          </w:p>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Health Standards and Guidelines for Body and Ear Piercing</w:t>
            </w:r>
          </w:p>
          <w:p w:rsidR="00947B38" w:rsidRPr="000B14DE" w:rsidRDefault="00947B38" w:rsidP="00F2379B">
            <w:pPr>
              <w:jc w:val="both"/>
              <w:rPr>
                <w:rFonts w:ascii="Garamond" w:hAnsi="Garamond"/>
                <w:bCs/>
                <w:color w:val="auto"/>
                <w:lang w:eastAsia="en-US"/>
              </w:rPr>
            </w:pPr>
          </w:p>
        </w:tc>
      </w:tr>
      <w:tr w:rsidR="00947B38" w:rsidRPr="000B14DE">
        <w:trPr>
          <w:trHeight w:val="567"/>
        </w:trPr>
        <w:tc>
          <w:tcPr>
            <w:tcW w:w="4621" w:type="dxa"/>
            <w:tcBorders>
              <w:right w:val="single" w:sz="4" w:space="0" w:color="auto"/>
            </w:tcBorders>
          </w:tcPr>
          <w:p w:rsidR="00947B38" w:rsidRPr="000B14DE" w:rsidRDefault="007F64AE" w:rsidP="00F2379B">
            <w:pPr>
              <w:jc w:val="both"/>
              <w:rPr>
                <w:rFonts w:ascii="Garamond" w:hAnsi="Garamond"/>
                <w:bCs/>
                <w:iCs/>
                <w:color w:val="auto"/>
                <w:lang w:eastAsia="en-US"/>
              </w:rPr>
            </w:pPr>
            <w:r w:rsidRPr="000A7ED8">
              <w:rPr>
                <w:rFonts w:ascii="Garamond" w:hAnsi="Garamond"/>
              </w:rPr>
              <w:t>Australian Capital Territory</w:t>
            </w:r>
            <w:r>
              <w:rPr>
                <w:rFonts w:ascii="Garamond" w:hAnsi="Garamond"/>
                <w:bCs/>
                <w:iCs/>
                <w:color w:val="auto"/>
                <w:sz w:val="22"/>
                <w:szCs w:val="22"/>
                <w:lang w:eastAsia="en-US"/>
              </w:rPr>
              <w:t xml:space="preserve"> </w:t>
            </w:r>
            <w:r w:rsidR="00947B38" w:rsidRPr="000B14DE">
              <w:rPr>
                <w:rFonts w:ascii="Garamond" w:hAnsi="Garamond"/>
                <w:bCs/>
                <w:iCs/>
                <w:color w:val="auto"/>
                <w:sz w:val="22"/>
                <w:szCs w:val="22"/>
                <w:lang w:eastAsia="en-US"/>
              </w:rPr>
              <w:t>Health, Australia 2006</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Infection Control Guidelines for office practices and other community based services.</w:t>
            </w:r>
          </w:p>
        </w:tc>
      </w:tr>
      <w:tr w:rsidR="00947B38" w:rsidRPr="000B14DE">
        <w:trPr>
          <w:trHeight w:val="567"/>
        </w:trPr>
        <w:tc>
          <w:tcPr>
            <w:tcW w:w="4621" w:type="dxa"/>
            <w:tcBorders>
              <w:right w:val="single" w:sz="4" w:space="0" w:color="auto"/>
            </w:tcBorders>
          </w:tcPr>
          <w:p w:rsidR="00947B38" w:rsidRPr="000B14DE" w:rsidRDefault="00947B38" w:rsidP="00F2379B">
            <w:pPr>
              <w:jc w:val="both"/>
              <w:rPr>
                <w:rFonts w:ascii="Garamond" w:hAnsi="Garamond"/>
                <w:bCs/>
                <w:iCs/>
                <w:color w:val="auto"/>
                <w:lang w:eastAsia="en-US"/>
              </w:rPr>
            </w:pPr>
            <w:r w:rsidRPr="000B14DE">
              <w:rPr>
                <w:rFonts w:ascii="Garamond" w:hAnsi="Garamond"/>
                <w:bCs/>
                <w:iCs/>
                <w:color w:val="auto"/>
                <w:sz w:val="22"/>
                <w:szCs w:val="22"/>
                <w:lang w:eastAsia="en-US"/>
              </w:rPr>
              <w:t>Scottish Licensing of Skin Piercing and Tattooing Working Group, 2011</w:t>
            </w:r>
          </w:p>
        </w:tc>
        <w:tc>
          <w:tcPr>
            <w:tcW w:w="9095" w:type="dxa"/>
            <w:tcBorders>
              <w:left w:val="single" w:sz="4" w:space="0" w:color="auto"/>
            </w:tcBorders>
          </w:tcPr>
          <w:p w:rsidR="00947B38" w:rsidRPr="000B14DE" w:rsidRDefault="00947B38" w:rsidP="00F2379B">
            <w:pPr>
              <w:jc w:val="both"/>
              <w:rPr>
                <w:rFonts w:ascii="Garamond" w:hAnsi="Garamond"/>
                <w:bCs/>
                <w:color w:val="auto"/>
                <w:lang w:eastAsia="en-US"/>
              </w:rPr>
            </w:pPr>
            <w:r w:rsidRPr="000B14DE">
              <w:rPr>
                <w:rFonts w:ascii="Garamond" w:hAnsi="Garamond"/>
                <w:bCs/>
                <w:color w:val="auto"/>
                <w:sz w:val="22"/>
                <w:szCs w:val="22"/>
                <w:lang w:eastAsia="en-US"/>
              </w:rPr>
              <w:t>The Civic Government (Scotland) Act 1982 (Licensing Of Skin Piercing And Tattooing) Order 2006-Local Authority Implementation Guide</w:t>
            </w:r>
          </w:p>
        </w:tc>
      </w:tr>
    </w:tbl>
    <w:p w:rsidR="00947B38" w:rsidRPr="000B14DE" w:rsidRDefault="00947B38" w:rsidP="00947B38">
      <w:pPr>
        <w:jc w:val="both"/>
        <w:rPr>
          <w:rFonts w:ascii="Garamond" w:hAnsi="Garamond"/>
          <w:color w:val="auto"/>
          <w:sz w:val="22"/>
          <w:szCs w:val="22"/>
          <w:lang w:eastAsia="en-US"/>
        </w:rPr>
      </w:pPr>
    </w:p>
    <w:p w:rsidR="00947B38" w:rsidRPr="000B14DE" w:rsidRDefault="00947B38" w:rsidP="00947B38">
      <w:pPr>
        <w:jc w:val="both"/>
        <w:rPr>
          <w:rFonts w:ascii="Garamond" w:hAnsi="Garamond"/>
          <w:color w:val="auto"/>
          <w:sz w:val="22"/>
          <w:szCs w:val="22"/>
          <w:lang w:eastAsia="en-US"/>
        </w:rPr>
      </w:pPr>
    </w:p>
    <w:p w:rsidR="00947B38" w:rsidRPr="000B14DE" w:rsidRDefault="00947B38" w:rsidP="00947B38">
      <w:pPr>
        <w:jc w:val="both"/>
        <w:rPr>
          <w:rFonts w:ascii="Garamond" w:hAnsi="Garamond"/>
          <w:color w:val="auto"/>
          <w:sz w:val="22"/>
          <w:szCs w:val="22"/>
          <w:lang w:eastAsia="en-US"/>
        </w:rPr>
      </w:pPr>
    </w:p>
    <w:p w:rsidR="00947B38" w:rsidRPr="000B14DE" w:rsidRDefault="00947B38" w:rsidP="00E61BB2">
      <w:pPr>
        <w:spacing w:line="360" w:lineRule="auto"/>
        <w:jc w:val="both"/>
        <w:rPr>
          <w:rFonts w:ascii="Garamond" w:hAnsi="Garamond"/>
          <w:b/>
          <w:color w:val="auto"/>
          <w:sz w:val="28"/>
          <w:szCs w:val="28"/>
          <w:lang w:eastAsia="en-US"/>
        </w:rPr>
        <w:sectPr w:rsidR="00947B38" w:rsidRPr="000B14DE">
          <w:endnotePr>
            <w:numFmt w:val="decimal"/>
          </w:endnotePr>
          <w:pgSz w:w="16838" w:h="11906" w:orient="landscape" w:code="9"/>
          <w:pgMar w:top="1077" w:right="1440" w:bottom="1077" w:left="1440" w:header="709" w:footer="709" w:gutter="0"/>
          <w:cols w:space="708"/>
          <w:docGrid w:linePitch="360"/>
        </w:sectPr>
      </w:pPr>
    </w:p>
    <w:p w:rsidR="00006F4D" w:rsidRDefault="00006F4D" w:rsidP="005029A6">
      <w:pPr>
        <w:pStyle w:val="Heading1"/>
        <w:numPr>
          <w:ilvl w:val="0"/>
          <w:numId w:val="0"/>
        </w:numPr>
        <w:ind w:left="432" w:hanging="432"/>
        <w:rPr>
          <w:rFonts w:ascii="Garamond" w:hAnsi="Garamond"/>
          <w:lang w:eastAsia="en-US"/>
        </w:rPr>
      </w:pPr>
      <w:bookmarkStart w:id="41" w:name="_Toc325554610"/>
      <w:r w:rsidRPr="005029A6">
        <w:rPr>
          <w:rFonts w:ascii="Garamond" w:hAnsi="Garamond"/>
          <w:lang w:eastAsia="en-US"/>
        </w:rPr>
        <w:t>References</w:t>
      </w:r>
      <w:bookmarkEnd w:id="41"/>
      <w:r w:rsidRPr="005029A6">
        <w:rPr>
          <w:rFonts w:ascii="Garamond" w:hAnsi="Garamond"/>
          <w:lang w:eastAsia="en-US"/>
        </w:rPr>
        <w:t xml:space="preserve"> </w:t>
      </w:r>
    </w:p>
    <w:p w:rsidR="001B306D" w:rsidRPr="001B306D" w:rsidRDefault="001B306D" w:rsidP="001B306D">
      <w:pPr>
        <w:rPr>
          <w:lang w:eastAsia="en-US"/>
        </w:rPr>
      </w:pP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Abildgaard N. and Peterslund N.A., 199.1 Hepatitis C virus transmitt</w:t>
      </w:r>
      <w:r>
        <w:rPr>
          <w:rFonts w:ascii="Garamond" w:hAnsi="Garamond"/>
          <w:lang w:eastAsia="en-US"/>
        </w:rPr>
        <w:t xml:space="preserve">ed by tattooing needle. Lancet, </w:t>
      </w:r>
      <w:r w:rsidRPr="00D7292D">
        <w:rPr>
          <w:rFonts w:ascii="Garamond" w:hAnsi="Garamond"/>
          <w:lang w:eastAsia="en-US"/>
        </w:rPr>
        <w:t>338(8764), p 460.</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Abiona TC, Balogun JA, Adefuye AS, and Sloan PE., 2010. Body art practices among inmates: Implications for transmission of blood borne infections. American Journal of Infection Control, 38(2):121-9.</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Alan Beswick and Calderdale Council, 2008. Acupuncture and skin piercing licences. http://www.calderdale.gov.uk/business/licences/skinpiercing/index.html (accessed 13th February 2012)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Alberta Health and Wellness, Canada, 2002 . Health Standards and Guidelines for Body and Ear Piercing,. http://www.health.alberta.ca/documents/Standards-Body-Ear-Piercing.pdf(accessed 22 March 2012)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Alberta Health and Wellness, Canada, 2002. Health Standards and Guidelines for Tattooing,. http://www.health.alberta.ca/documents/Standards-Tattooing.pdf(accessed 22 March 2012)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America Academy of Dermatology, 2012. Tattoo and Body Piercing. http://www.aad.org/media-resources/stats-and-facts/prevention-and-care/tattoos-and-body-piercings (accessed 13th February 2012).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Armstrong M L, Murphy K P, Sallee A, Watson M G., 2000. Tattooed Army soldiers: examining the incidence, behaviour, and risk. Military Medicine, 165(2):135-41.</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Armstrong ML and Murphy KP., 1997.  Tattooing: another adolescent risk behaviour warranting health education. Applied nursing research, 10(4):181–189.</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Armstrong ML, Roberts AE, Owen DC, Koch JR., 2004.Towards building a composite of college student influences with body art. Issues in Comprehensive Pediatrics Nursing, 27:277–95.</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 xml:space="preserve">Armstrong, M. L., Koch, J. R., Saunders, J. C., Roberts, A. E., &amp; Owen, D. C., 2007. The Hole picture: Risks, decision making, purpose, regulations, and the future of body piercing. Clinical Dermatology, 25(4), 398–406. </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Australian Capital Territory Health, 2006. Infection Control Guidelines for office practices and other community based services. http://www.health.act.gov.au/publications/codes-of-practice/infection-control-for-office-practices-and-other-community-based-services(accessed 22 March 2012)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Belfast City Counc</w:t>
      </w:r>
      <w:r>
        <w:rPr>
          <w:rFonts w:ascii="Garamond" w:hAnsi="Garamond"/>
          <w:lang w:eastAsia="en-US"/>
        </w:rPr>
        <w:t xml:space="preserve">il, 2011. Tattooing guidelines. </w:t>
      </w:r>
      <w:hyperlink r:id="rId15" w:history="1">
        <w:r w:rsidRPr="00DC426D">
          <w:rPr>
            <w:rStyle w:val="Hyperlink"/>
            <w:rFonts w:ascii="Garamond" w:hAnsi="Garamond"/>
            <w:lang w:eastAsia="en-US"/>
          </w:rPr>
          <w:t>www.belfastcity.gov.uk/businessbyelaws/docs/tattooingguidelines.doc</w:t>
        </w:r>
      </w:hyperlink>
      <w:r>
        <w:rPr>
          <w:rFonts w:ascii="Garamond" w:hAnsi="Garamond"/>
          <w:lang w:eastAsia="en-US"/>
        </w:rPr>
        <w:t xml:space="preserve"> </w:t>
      </w:r>
      <w:r w:rsidRPr="001B306D">
        <w:rPr>
          <w:rFonts w:ascii="Garamond" w:hAnsi="Garamond"/>
          <w:lang w:eastAsia="en-US"/>
        </w:rPr>
        <w:t>(accessed 22 March 2012)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 xml:space="preserve">Benjamins, L. J., Risser, W. L., Cromwell, P. F., Feldmann, J., Bortot, A. T., Eissa, M. A., and Nguyen, B.A., 2006.  Body Art among Minority High School Athletes: Prevalence, Interest and Satisfaction; Parental Knowledge and Consent. Journal of Adolescent Health, 39(6):933-5. </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Bernadette Whiteman-hoyte and London Special Treatment Nurses’ group, 2011.                                                                          Guidelines for the control of infection in special treatments-tattoo, body piercing, micro pigmentation, acupuncture and beauty therapy.  Unpublished, revised October 2011.</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 xml:space="preserve">Bone, A. and Ncube, F., 2004. Literature review on the epidemiology of body piercing, its complication, and the knowledge, attitudes and practices of body piercers with regard to infection control. Health Protection Agency, Unpublished. </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Brillman JC, Crandall CS, Florence CS, Jacobs JL., 2002 Prevalence a</w:t>
      </w:r>
      <w:r>
        <w:rPr>
          <w:rFonts w:ascii="Garamond" w:hAnsi="Garamond"/>
          <w:lang w:eastAsia="en-US"/>
        </w:rPr>
        <w:t xml:space="preserve">nd risk factors associated with </w:t>
      </w:r>
      <w:r w:rsidRPr="00D7292D">
        <w:rPr>
          <w:rFonts w:ascii="Garamond" w:hAnsi="Garamond"/>
          <w:lang w:eastAsia="en-US"/>
        </w:rPr>
        <w:t>hepatitis C in ED patients. Am J Emerg Med;20:476–80.</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Bruneau J, Daniel M, Kestens Y, Abrahamowicz M, Zang G., 2010. Availability of body art facilities and body art piercing do not predict hepatitis C acquisition among injection drug users in Montreal, Canada: results from a cohort study. Int J Drug Policy;21:pp 477-84.</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CampelloC, Poli A, Dal MG, Besozzi-Valentini F., 2002. Seroprevalence, viremia and genotype distribution of hepatitis C virus: a community-based population study in norther</w:t>
      </w:r>
      <w:r>
        <w:rPr>
          <w:rFonts w:ascii="Garamond" w:hAnsi="Garamond"/>
          <w:lang w:eastAsia="en-US"/>
        </w:rPr>
        <w:t>n Italy. Infection;30: pp 7–12.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Cegolon,L.,Miatto, E., Bortolotto,M., Benetton,M., Mazzoleni,F., Mastrangelo,G. and the VAHP Working Group, 2010. Body piercing and tattoo: awareness of health related risks among 4,277 Italian secondary school adolescents. BMC Public Health, 10:73</w:t>
      </w:r>
    </w:p>
    <w:p w:rsidR="00FE4BD8" w:rsidRDefault="00FE4BD8" w:rsidP="001B306D">
      <w:pPr>
        <w:spacing w:after="100" w:afterAutospacing="1"/>
        <w:rPr>
          <w:rFonts w:ascii="Garamond" w:hAnsi="Garamond"/>
          <w:lang w:eastAsia="en-US"/>
        </w:rPr>
      </w:pPr>
      <w:r>
        <w:rPr>
          <w:rFonts w:ascii="Garamond" w:hAnsi="Garamond"/>
          <w:lang w:eastAsia="en-US"/>
        </w:rPr>
        <w:t xml:space="preserve">Clay 0., 2009. </w:t>
      </w:r>
      <w:r w:rsidRPr="00FE4BD8">
        <w:rPr>
          <w:rFonts w:ascii="Garamond" w:hAnsi="Garamond"/>
          <w:lang w:eastAsia="en-US"/>
        </w:rPr>
        <w:t>Halton Borough Council warns against unlicensed tattooist HIV and hepatitis risk</w:t>
      </w:r>
      <w:r>
        <w:rPr>
          <w:rFonts w:ascii="Garamond" w:hAnsi="Garamond"/>
          <w:lang w:eastAsia="en-US"/>
        </w:rPr>
        <w:t xml:space="preserve">. </w:t>
      </w:r>
      <w:r w:rsidRPr="00FE4BD8">
        <w:rPr>
          <w:rFonts w:ascii="Garamond" w:hAnsi="Garamond"/>
          <w:lang w:eastAsia="en-US"/>
        </w:rPr>
        <w:t>Runcorn and Widnes Weekly News</w:t>
      </w:r>
      <w:r>
        <w:rPr>
          <w:rFonts w:ascii="Garamond" w:hAnsi="Garamond"/>
          <w:lang w:eastAsia="en-US"/>
        </w:rPr>
        <w:t>, available on &lt;</w:t>
      </w:r>
      <w:hyperlink r:id="rId16" w:history="1">
        <w:r w:rsidRPr="00DC426D">
          <w:rPr>
            <w:rStyle w:val="Hyperlink"/>
            <w:rFonts w:ascii="Garamond" w:hAnsi="Garamond"/>
            <w:lang w:eastAsia="en-US"/>
          </w:rPr>
          <w:t>http://www.runcornandwidnesweeklynews.co.uk/runcorn-widnes-news/runcorn-widnes-local-news/2009/08/20/halton-borough-council-warns-against-unlicensed-tattooist-hiv-and-hepatitis-risk-55368-24490225/</w:t>
        </w:r>
      </w:hyperlink>
      <w:r>
        <w:rPr>
          <w:rFonts w:ascii="Garamond" w:hAnsi="Garamond"/>
          <w:lang w:eastAsia="en-US"/>
        </w:rPr>
        <w:t>&gt; last accessed on 23</w:t>
      </w:r>
      <w:r w:rsidRPr="00FE4BD8">
        <w:rPr>
          <w:rFonts w:ascii="Garamond" w:hAnsi="Garamond"/>
          <w:vertAlign w:val="superscript"/>
          <w:lang w:eastAsia="en-US"/>
        </w:rPr>
        <w:t>rd</w:t>
      </w:r>
      <w:r>
        <w:rPr>
          <w:rFonts w:ascii="Garamond" w:hAnsi="Garamond"/>
          <w:lang w:eastAsia="en-US"/>
        </w:rPr>
        <w:t xml:space="preserve"> May 2012.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Christa de Cuyper and Maria-Luisa Perez-Cotapos (eds), 2010. Dermatologic Complications with Body Art: Tattoos, Piercings, and Permanent Make-Up. New York: Springer.</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Council of Europe (2008)Resolution ResAP(2008)1 on requirements and criteria for the safety of tattoos and permanent make-up (superseding Resolution ResAP(2003)2 on tattoos and permanent make-up. www.coe.int/t/e/social_cohesion/soc-sp/resap_2008_1%20e.pdf) (last accessed 8th May 2012)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De Nishioka SA, Gyorkos TW, Joseph L, Collet J-P and MacLean JD., 2002. Tattooing and risk for transfusion-transmitted diseases: The role of the type, number and design of the tattoos, and the conditions in which they were performed. Epidemiology and Infection, 128(1): 63–71.</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Department of Health, 2006. Updated model byelaws for the regulation of acupuncture, tattooing, semi-permanent skin-colouring, cosmetic piercing and electrolysis by local authorities. www.dh.gov.uk/en/Publicationsandstatistics/Publications/PublicationsLegislation/DH_4138583</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Deschesnes M. ,Demers, S. and Fines P., 2006.  Prevalence and characteristics of body piercing and tattooing among high school students. Canadian Journal of Public Health, 97: 325–9.</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Drage, L.A.et al 2010. An outbreak of Mycobacterium chelonae infections in tattoos. J Am</w:t>
      </w:r>
      <w:r>
        <w:rPr>
          <w:rFonts w:ascii="Garamond" w:hAnsi="Garamond"/>
          <w:lang w:eastAsia="en-US"/>
        </w:rPr>
        <w:t xml:space="preserve"> Acad Dermatol 62(3):pp 501-506</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Ghorpade A., 2002. Inoculation (tattoo) leprosy: a report of 31 cases. Journal of the European Academy of Dermatology and Venereology, 16:494-9.</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Goldstein N., 1979. Complications from tattoos, Special issue on tattoos. Journal of Dermatologic Surgery and Oncology, 5:870.</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Groom, N., 2006. The Union Jack: The Story Of The British Flag. London: Atlantic Books.</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Haley RW and Fischer RP., 2001. Commercial tattooing as a potentially important source of hepatitis C infection clinical epidemiology of 626 consecutive patients unaware of their hepatitis C serologic status. Medicine (Baltimore), 80(2):134-51.</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 xml:space="preserve">Harris Interactive, 2012. One in Five U.S. Adults Now Has a Tattoo. http://www.harrisinteractive.com/NewsRoom/HarrisPolls/tabid/447/mid/1508/articleId/970/ctl/ReadCustom%20Default/Default.aspx (accessed 22nd March 2012) </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 xml:space="preserve">Health Protection Scotland and the Royal Environmental Health Institute of Scotland, 2011.  The Civic Government (Scotland) Act 1982 (Licensing Of Skin Piercing and Tattooing) Order 2006, Local </w:t>
      </w:r>
      <w:r>
        <w:rPr>
          <w:rFonts w:ascii="Garamond" w:hAnsi="Garamond"/>
          <w:lang w:eastAsia="en-US"/>
        </w:rPr>
        <w:t xml:space="preserve">Authority Implementation Guide. </w:t>
      </w:r>
      <w:r w:rsidRPr="001B306D">
        <w:rPr>
          <w:rFonts w:ascii="Garamond" w:hAnsi="Garamond"/>
          <w:lang w:eastAsia="en-US"/>
        </w:rPr>
        <w:t>http://www.hps.scot.nhs.uk/enviro/guidelinedetail.aspx?id=36090(accessed 22 March 2012)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Hellard, M. E., Hocking, J. S., and Crofts, N., 2004. The prevalence and the risk behaviours associated with the transmission of hepatitis C virus in Australian correctional facilities. Epidemiology and Infection, 132(3): 409–415.</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Jafari S, Copes R, Baharlou S, Etminan M, Buxton J., 2010. Tattooing and the risk of transmission of hepatitis C: A systematic review and meta-analysis. International Journal of Infectious Diseases, 14(11): 928–940.</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Laumann, A. E., and Derick, A. J., 2006.  Tattoos and body piercings in the United States: A national data set. Journal of the American Academy of Dermatology, 55(3), 413–421.</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Makkai,T. and McAllister I., 2001. Prevalence of tattooing and body piercing in the Australian community. Communicable Disease Intelligence, 25 (2).</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Mayers, L. B., D. A. Judelson, et al., 2002. Prevalence of body art (</w:t>
      </w:r>
      <w:r>
        <w:rPr>
          <w:rFonts w:ascii="Garamond" w:hAnsi="Garamond"/>
          <w:lang w:eastAsia="en-US"/>
        </w:rPr>
        <w:t xml:space="preserve">body piercing and tattooing) in </w:t>
      </w:r>
      <w:r w:rsidRPr="00D7292D">
        <w:rPr>
          <w:rFonts w:ascii="Garamond" w:hAnsi="Garamond"/>
          <w:lang w:eastAsia="en-US"/>
        </w:rPr>
        <w:t xml:space="preserve">university </w:t>
      </w:r>
      <w:r>
        <w:rPr>
          <w:rFonts w:ascii="Garamond" w:hAnsi="Garamond"/>
          <w:lang w:eastAsia="en-US"/>
        </w:rPr>
        <w:t xml:space="preserve">undergraduates and incidence of </w:t>
      </w:r>
      <w:r w:rsidRPr="00D7292D">
        <w:rPr>
          <w:rFonts w:ascii="Garamond" w:hAnsi="Garamond"/>
          <w:lang w:eastAsia="en-US"/>
        </w:rPr>
        <w:t>medical complications. Mayo Clin Proc 77(1): 29-34</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Mele A, Corona R, Tosti ME, et al., 1995. Beauty treatments and risk of parenterally transmitted hepatitis: results from the hepatitis surveillance system in Italy. Scandinavian Journal of Infectious Diseases, 27: 44-4.</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Neal KR, Jones DA, Killey D, James V., 1994.  Risk factors for hepatitis C virus infection: a case-control study of blood donors in the Trent Region (UK). Epidemiology and Infection, Cambridge Journals, 112: 595-601.</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Nishioka SD, Gyorkos TW, MacLean JD., 2002. Tattoos and transfusion-transmitted disease risk: implications for the screening of blood donors in Brazil. Braz J Infect Dis;6:172–80</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O’Brien S.F, , W. Fan, G. Xi, Q.L. Yi, M. Goldman, M.A. Fearon et al., 2008. Declining hepatitis C rates in first-time blood donors: Insight from surveillance and case-control risk factor studies. Transfusion, 48 (5), pp. 902–909</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Oberdorfer A, Wiggers JH, Bowman J, Lecathelinais C., 2003. Infection control practices among tattooists and body piercers in Sydney, Australia.  American Journal of Infection Control, 31(8):447-56.</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Papameletiou D, Zemié A, Schwela D, Baumler W., 2003. Risks and Health Effects from Tattoos, Body Piercing and Related Practices-Technical/scientific and regulatory issues on the safety of tattoos, body piercing and of related practices. European Commision, Directorate General, Joint Research Center. Ispra 6-7 Maggio.</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Pérez, C.M., E. Suarez, E.A. Torres, K. Roman, V. Colon, 2005. Seroprevalence of hepatitis C virus and associated risk behaviours: A population-based study in San Juan, Puerto Rico International Journal of Epidemiology, 34 (3), pp. 593–599</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Poulin C.,Alary M.,Lambert G.,Godin G.,Landry S.,GagnonH,et al., 2007. Prevalence of HIV and hepatitis C virus infections among inmates of Quebec provincial prisons. Canadian Medical Association Journal, 177:252–6.</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Queensland Government, Queensland Health, 2007. Public Health (Infection Control for Personal Appearance Services) Act 2003- A Guide for Local Governments. http://www.health.qld.gov.au/ph/documents/cdb/32182.pdf (accessed 22 March 2012)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Rania A. T. and Scott D. H., 2012. Transmission of Hepatitis C Virus Infection through Tattooing and Piercing: A Critical Review.  Clinical Infectious Diseases, Oxford Journals, 10.1093/cid/cir991.</w:t>
      </w:r>
    </w:p>
    <w:p w:rsidR="008A6298" w:rsidRDefault="008A6298" w:rsidP="008A6298">
      <w:pPr>
        <w:spacing w:after="100" w:afterAutospacing="1"/>
        <w:rPr>
          <w:rFonts w:ascii="Garamond" w:hAnsi="Garamond"/>
          <w:lang w:eastAsia="en-US"/>
        </w:rPr>
      </w:pPr>
      <w:r>
        <w:rPr>
          <w:rFonts w:ascii="Garamond" w:hAnsi="Garamond"/>
          <w:lang w:eastAsia="en-US"/>
        </w:rPr>
        <w:t xml:space="preserve">Robb, G., 2012. Expert on </w:t>
      </w:r>
      <w:r w:rsidRPr="008A6298">
        <w:rPr>
          <w:rFonts w:ascii="Garamond" w:hAnsi="Garamond"/>
          <w:lang w:eastAsia="en-US"/>
        </w:rPr>
        <w:t>Infectious Diseases &amp; Blood Policy</w:t>
      </w:r>
      <w:r>
        <w:rPr>
          <w:rFonts w:ascii="Garamond" w:hAnsi="Garamond"/>
          <w:lang w:eastAsia="en-US"/>
        </w:rPr>
        <w:t>-</w:t>
      </w:r>
      <w:r w:rsidRPr="008A6298">
        <w:rPr>
          <w:rFonts w:ascii="Garamond" w:hAnsi="Garamond"/>
          <w:lang w:eastAsia="en-US"/>
        </w:rPr>
        <w:t xml:space="preserve"> Blood</w:t>
      </w:r>
      <w:r>
        <w:rPr>
          <w:rFonts w:ascii="Garamond" w:hAnsi="Garamond"/>
          <w:lang w:eastAsia="en-US"/>
        </w:rPr>
        <w:t xml:space="preserve">-borne Viruses and Tuberculosis. </w:t>
      </w:r>
      <w:r w:rsidRPr="008A6298">
        <w:rPr>
          <w:rFonts w:ascii="Garamond" w:hAnsi="Garamond"/>
          <w:lang w:eastAsia="en-US"/>
        </w:rPr>
        <w:t>Department of Health</w:t>
      </w:r>
      <w:r>
        <w:rPr>
          <w:rFonts w:ascii="Garamond" w:hAnsi="Garamond"/>
          <w:lang w:eastAsia="en-US"/>
        </w:rPr>
        <w:t>. Email communication.</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Robotin MC, Copland J, Tallis G, Coleman D, Giele C, Carter L, et al., 2004. Surveillance for newly acquired hepatitis C in Australia. Journal of Gastroenterology and Hepatology 19: 283–8.</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Samuel MC et al., 2001. Association between heroin use, needle sharing and tattoos received in prison with hepatitis B and C positivity among street-recruited injecting drug users in New Mexico, USA. Epidemiol Infect 127:475</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Satchithananda, D. K., J. Walsh, et al. (2001). Bacterial endocarditis following repeated tattooing. Heart 85(1): 11-2.</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Sebastian VJ, Ray S, Bhattacharya S, Maung OT, Saini HAM and Jalani HJD., 1992. Tattooing and hepatitis B infection. Journal of Gastroenterology and Hepatology, 7(4):385-7.</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Shebani, S. O., H. F. Miles, et al. (2007). "Awareness of the risk of endocarditis associated with tattooing and body piercing among patients with</w:t>
      </w:r>
      <w:r>
        <w:rPr>
          <w:rFonts w:ascii="Garamond" w:hAnsi="Garamond"/>
          <w:lang w:eastAsia="en-US"/>
        </w:rPr>
        <w:t xml:space="preserve"> </w:t>
      </w:r>
      <w:r w:rsidRPr="00D7292D">
        <w:rPr>
          <w:rFonts w:ascii="Garamond" w:hAnsi="Garamond"/>
          <w:lang w:eastAsia="en-US"/>
        </w:rPr>
        <w:t>congenital heart disease and paediat</w:t>
      </w:r>
      <w:r>
        <w:rPr>
          <w:rFonts w:ascii="Garamond" w:hAnsi="Garamond"/>
          <w:lang w:eastAsia="en-US"/>
        </w:rPr>
        <w:t xml:space="preserve">ric cardiologists in the United </w:t>
      </w:r>
      <w:r w:rsidRPr="00D7292D">
        <w:rPr>
          <w:rFonts w:ascii="Garamond" w:hAnsi="Garamond"/>
          <w:lang w:eastAsia="en-US"/>
        </w:rPr>
        <w:t>Kingdom." Arch Dis Child 92(11): 1013-4.</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Sidoti,E., Paolini, G. and Tringali,G., 2010. Prevalence, knowledge, attitudes and practices towards body art in university students: body art as an indicator of risk taking behaviours? Italian Journal of Public Health, 7(4):386-394.</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Silverman AL, Sekhon JS, Saginaw SJ, Wiedbrauk D, Balasubramaniam, M. and Gordon SC., 2000. Tattoo application is not associated with an increased risk for chronic viral hepatitis. American Journal of Gastroenterology, 95(5):1312-5.</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Stirn A., Hinz A. and Brähler E., 2006.  Prevalence of tattooing and body piercing in Germany and perception of health, mental disorders, and sensation seeking among tattooed and body-pierced individuals. Journal of Psychosomatic Research, 60 (5):531-534.</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Stirn, A., Hinz, A., &amp; Bra¨hler, E., 2006. Prevalence of tattooing a</w:t>
      </w:r>
      <w:r>
        <w:rPr>
          <w:rFonts w:ascii="Garamond" w:hAnsi="Garamond"/>
          <w:lang w:eastAsia="en-US"/>
        </w:rPr>
        <w:t xml:space="preserve">nd body piercing in Germany and </w:t>
      </w:r>
      <w:r w:rsidRPr="00D7292D">
        <w:rPr>
          <w:rFonts w:ascii="Garamond" w:hAnsi="Garamond"/>
          <w:lang w:eastAsia="en-US"/>
        </w:rPr>
        <w:t xml:space="preserve">perception of health, mental disorders, and sensation seeking </w:t>
      </w:r>
      <w:r>
        <w:rPr>
          <w:rFonts w:ascii="Garamond" w:hAnsi="Garamond"/>
          <w:lang w:eastAsia="en-US"/>
        </w:rPr>
        <w:t xml:space="preserve">among tattooed and body-pierced </w:t>
      </w:r>
      <w:r w:rsidRPr="00D7292D">
        <w:rPr>
          <w:rFonts w:ascii="Garamond" w:hAnsi="Garamond"/>
          <w:lang w:eastAsia="en-US"/>
        </w:rPr>
        <w:t>individuals. Journal of Psychosomatic Research, 60,pp 531–534.</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 xml:space="preserve">Sun, DX, Zhang, FG, Geng, YQ, et al., 1996. HCV transmission </w:t>
      </w:r>
      <w:r>
        <w:rPr>
          <w:rFonts w:ascii="Garamond" w:hAnsi="Garamond"/>
          <w:lang w:eastAsia="en-US"/>
        </w:rPr>
        <w:t xml:space="preserve">by cosmetic tattooing in women. </w:t>
      </w:r>
      <w:r w:rsidRPr="00D7292D">
        <w:rPr>
          <w:rFonts w:ascii="Garamond" w:hAnsi="Garamond"/>
          <w:lang w:eastAsia="en-US"/>
        </w:rPr>
        <w:t>Lancet. pp 347: 541</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Tsang THF, Horowitz E, Vugia DJ, et al., 2001. Transmission of hep</w:t>
      </w:r>
      <w:r>
        <w:rPr>
          <w:rFonts w:ascii="Garamond" w:hAnsi="Garamond"/>
          <w:lang w:eastAsia="en-US"/>
        </w:rPr>
        <w:t xml:space="preserve">atitis C through tattooing in a </w:t>
      </w:r>
      <w:r w:rsidRPr="00D7292D">
        <w:rPr>
          <w:rFonts w:ascii="Garamond" w:hAnsi="Garamond"/>
          <w:lang w:eastAsia="en-US"/>
        </w:rPr>
        <w:t>United States prison. AJG;96(4):1304-1305</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Urdang, M.,Mallek, J.T.and Mallon, W.K., 2011. Tattoos and Piercings: A Review for the Emergency Physician. Journal of Emergency Medicine, 7 (4).</w:t>
      </w:r>
    </w:p>
    <w:p w:rsidR="00E14588" w:rsidRPr="00D7292D" w:rsidRDefault="00E14588" w:rsidP="00D7292D">
      <w:pPr>
        <w:spacing w:after="100" w:afterAutospacing="1"/>
        <w:rPr>
          <w:rFonts w:ascii="Garamond" w:hAnsi="Garamond"/>
          <w:lang w:eastAsia="en-US"/>
        </w:rPr>
      </w:pPr>
      <w:r w:rsidRPr="00D7292D">
        <w:rPr>
          <w:rFonts w:ascii="Garamond" w:hAnsi="Garamond"/>
          <w:lang w:eastAsia="en-US"/>
        </w:rPr>
        <w:t>Viswanathan U, Beaumont A, O'Moore E, et al., 2011Hepatitis B T</w:t>
      </w:r>
      <w:r>
        <w:rPr>
          <w:rFonts w:ascii="Garamond" w:hAnsi="Garamond"/>
          <w:lang w:eastAsia="en-US"/>
        </w:rPr>
        <w:t xml:space="preserve">ransmission Event in an English </w:t>
      </w:r>
      <w:r w:rsidRPr="00D7292D">
        <w:rPr>
          <w:rFonts w:ascii="Garamond" w:hAnsi="Garamond"/>
          <w:lang w:eastAsia="en-US"/>
        </w:rPr>
        <w:t>Prison and the Importance of Immunization</w:t>
      </w:r>
      <w:r>
        <w:rPr>
          <w:rFonts w:ascii="Garamond" w:hAnsi="Garamond"/>
          <w:lang w:eastAsia="en-US"/>
        </w:rPr>
        <w:t xml:space="preserve">. </w:t>
      </w:r>
      <w:r w:rsidRPr="00D7292D">
        <w:rPr>
          <w:rFonts w:ascii="Garamond" w:hAnsi="Garamond"/>
          <w:lang w:eastAsia="en-US"/>
        </w:rPr>
        <w:t>J Public Health (Oxf). 33(2):193-6</w:t>
      </w:r>
    </w:p>
    <w:p w:rsidR="00E14588" w:rsidRPr="001B306D" w:rsidRDefault="00E14588" w:rsidP="001B306D">
      <w:pPr>
        <w:spacing w:after="100" w:afterAutospacing="1"/>
        <w:rPr>
          <w:rFonts w:ascii="Garamond" w:hAnsi="Garamond"/>
          <w:lang w:eastAsia="en-US"/>
        </w:rPr>
      </w:pPr>
      <w:r w:rsidRPr="001B306D">
        <w:rPr>
          <w:rFonts w:ascii="Garamond" w:hAnsi="Garamond"/>
          <w:lang w:eastAsia="en-US"/>
        </w:rPr>
        <w:t>Weild A.R,Gill O.N,Bennett D,Livingstone S J M,Parry J V,Curry L., 2000. Prevalence of HIV, hepatitis B, and hepatitis C antibodies in prisoners in England and Wales: a national survey. Communicable Disease and Public Health, 3:121–6.</w:t>
      </w:r>
    </w:p>
    <w:p w:rsidR="00E14588" w:rsidRDefault="00E14588" w:rsidP="001B306D">
      <w:pPr>
        <w:spacing w:after="100" w:afterAutospacing="1"/>
        <w:rPr>
          <w:rFonts w:ascii="Garamond" w:hAnsi="Garamond"/>
          <w:lang w:eastAsia="en-US"/>
        </w:rPr>
      </w:pPr>
      <w:r w:rsidRPr="001B306D">
        <w:rPr>
          <w:rFonts w:ascii="Garamond" w:hAnsi="Garamond"/>
          <w:lang w:eastAsia="en-US"/>
        </w:rPr>
        <w:t xml:space="preserve">Welsh Government, 2011. Welsh model byelaws for acupuncture, tattooing, semi-permanent skin-coloring, cosmetic piercing and electrolysis. </w:t>
      </w:r>
      <w:hyperlink r:id="rId17" w:history="1">
        <w:r w:rsidRPr="00DC426D">
          <w:rPr>
            <w:rStyle w:val="Hyperlink"/>
            <w:rFonts w:ascii="Garamond" w:hAnsi="Garamond"/>
            <w:lang w:eastAsia="en-US"/>
          </w:rPr>
          <w:t>http://wales.gov.uk/topics/health/protection/communicabledisease/acupuncture/?lang=en</w:t>
        </w:r>
      </w:hyperlink>
      <w:r>
        <w:rPr>
          <w:rFonts w:ascii="Garamond" w:hAnsi="Garamond"/>
          <w:lang w:eastAsia="en-US"/>
        </w:rPr>
        <w:t xml:space="preserve"> </w:t>
      </w:r>
      <w:r w:rsidRPr="001B306D">
        <w:rPr>
          <w:rFonts w:ascii="Garamond" w:hAnsi="Garamond"/>
          <w:lang w:eastAsia="en-US"/>
        </w:rPr>
        <w:t>(accessed 22 March 2012)</w:t>
      </w:r>
    </w:p>
    <w:p w:rsidR="00D7292D" w:rsidRPr="001B306D" w:rsidRDefault="00D7292D" w:rsidP="001B306D">
      <w:pPr>
        <w:spacing w:after="100" w:afterAutospacing="1"/>
        <w:rPr>
          <w:rFonts w:ascii="Garamond" w:hAnsi="Garamond"/>
          <w:lang w:eastAsia="en-US"/>
        </w:rPr>
      </w:pPr>
    </w:p>
    <w:sectPr w:rsidR="00D7292D" w:rsidRPr="001B306D" w:rsidSect="00947B38">
      <w:endnotePr>
        <w:numFmt w:val="decimal"/>
      </w:endnotePr>
      <w:pgSz w:w="11906" w:h="16838" w:code="9"/>
      <w:pgMar w:top="1440" w:right="1077" w:bottom="1440" w:left="107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9D2" w:rsidRDefault="000B49D2" w:rsidP="004E62D7">
      <w:r>
        <w:separator/>
      </w:r>
    </w:p>
  </w:endnote>
  <w:endnote w:type="continuationSeparator" w:id="0">
    <w:p w:rsidR="000B49D2" w:rsidRDefault="000B49D2" w:rsidP="004E62D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6A" w:rsidRDefault="00E15D6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D2" w:rsidRPr="007D20B7" w:rsidRDefault="000A7D09">
    <w:pPr>
      <w:pStyle w:val="Footer"/>
      <w:jc w:val="right"/>
      <w:rPr>
        <w:rFonts w:ascii="Garamond" w:hAnsi="Garamond"/>
      </w:rPr>
    </w:pPr>
    <w:fldSimple w:instr=" PAGE   \* MERGEFORMAT ">
      <w:r w:rsidR="00A82BF9">
        <w:rPr>
          <w:rFonts w:ascii="Garamond" w:hAnsi="Garamond"/>
          <w:noProof/>
        </w:rPr>
        <w:t>2</w:t>
      </w:r>
    </w:fldSimple>
  </w:p>
  <w:p w:rsidR="000B49D2" w:rsidRDefault="000B49D2">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6A" w:rsidRDefault="00E15D6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9D2" w:rsidRDefault="000B49D2" w:rsidP="004E62D7">
      <w:r>
        <w:separator/>
      </w:r>
    </w:p>
  </w:footnote>
  <w:footnote w:type="continuationSeparator" w:id="0">
    <w:p w:rsidR="000B49D2" w:rsidRDefault="000B49D2" w:rsidP="004E62D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6A" w:rsidRDefault="00E15D6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D2" w:rsidRDefault="000B49D2">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6A" w:rsidRDefault="00E15D6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647A40"/>
    <w:lvl w:ilvl="0">
      <w:start w:val="1"/>
      <w:numFmt w:val="decimal"/>
      <w:lvlText w:val="%1."/>
      <w:lvlJc w:val="left"/>
      <w:pPr>
        <w:tabs>
          <w:tab w:val="num" w:pos="1492"/>
        </w:tabs>
        <w:ind w:left="1492" w:hanging="360"/>
      </w:pPr>
    </w:lvl>
  </w:abstractNum>
  <w:abstractNum w:abstractNumId="1">
    <w:nsid w:val="FFFFFF7D"/>
    <w:multiLevelType w:val="singleLevel"/>
    <w:tmpl w:val="F3CEE118"/>
    <w:lvl w:ilvl="0">
      <w:start w:val="1"/>
      <w:numFmt w:val="decimal"/>
      <w:lvlText w:val="%1."/>
      <w:lvlJc w:val="left"/>
      <w:pPr>
        <w:tabs>
          <w:tab w:val="num" w:pos="1209"/>
        </w:tabs>
        <w:ind w:left="1209" w:hanging="360"/>
      </w:pPr>
    </w:lvl>
  </w:abstractNum>
  <w:abstractNum w:abstractNumId="2">
    <w:nsid w:val="FFFFFF7E"/>
    <w:multiLevelType w:val="singleLevel"/>
    <w:tmpl w:val="F2822268"/>
    <w:lvl w:ilvl="0">
      <w:start w:val="1"/>
      <w:numFmt w:val="decimal"/>
      <w:lvlText w:val="%1."/>
      <w:lvlJc w:val="left"/>
      <w:pPr>
        <w:tabs>
          <w:tab w:val="num" w:pos="926"/>
        </w:tabs>
        <w:ind w:left="926" w:hanging="360"/>
      </w:pPr>
    </w:lvl>
  </w:abstractNum>
  <w:abstractNum w:abstractNumId="3">
    <w:nsid w:val="FFFFFF7F"/>
    <w:multiLevelType w:val="singleLevel"/>
    <w:tmpl w:val="CCD0D6E6"/>
    <w:lvl w:ilvl="0">
      <w:start w:val="1"/>
      <w:numFmt w:val="decimal"/>
      <w:lvlText w:val="%1."/>
      <w:lvlJc w:val="left"/>
      <w:pPr>
        <w:tabs>
          <w:tab w:val="num" w:pos="643"/>
        </w:tabs>
        <w:ind w:left="643" w:hanging="360"/>
      </w:pPr>
    </w:lvl>
  </w:abstractNum>
  <w:abstractNum w:abstractNumId="4">
    <w:nsid w:val="FFFFFF80"/>
    <w:multiLevelType w:val="singleLevel"/>
    <w:tmpl w:val="D256C3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4475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90D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C81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56D3EE"/>
    <w:lvl w:ilvl="0">
      <w:start w:val="1"/>
      <w:numFmt w:val="decimal"/>
      <w:lvlText w:val="%1."/>
      <w:lvlJc w:val="left"/>
      <w:pPr>
        <w:tabs>
          <w:tab w:val="num" w:pos="360"/>
        </w:tabs>
        <w:ind w:left="360" w:hanging="360"/>
      </w:pPr>
    </w:lvl>
  </w:abstractNum>
  <w:abstractNum w:abstractNumId="9">
    <w:nsid w:val="FFFFFF89"/>
    <w:multiLevelType w:val="singleLevel"/>
    <w:tmpl w:val="7E1A1EF2"/>
    <w:lvl w:ilvl="0">
      <w:start w:val="1"/>
      <w:numFmt w:val="bullet"/>
      <w:lvlText w:val=""/>
      <w:lvlJc w:val="left"/>
      <w:pPr>
        <w:tabs>
          <w:tab w:val="num" w:pos="360"/>
        </w:tabs>
        <w:ind w:left="360" w:hanging="360"/>
      </w:pPr>
      <w:rPr>
        <w:rFonts w:ascii="Symbol" w:hAnsi="Symbol" w:hint="default"/>
      </w:rPr>
    </w:lvl>
  </w:abstractNum>
  <w:abstractNum w:abstractNumId="10">
    <w:nsid w:val="054A1384"/>
    <w:multiLevelType w:val="hybridMultilevel"/>
    <w:tmpl w:val="B86ED26E"/>
    <w:lvl w:ilvl="0" w:tplc="0809000D">
      <w:start w:val="1"/>
      <w:numFmt w:val="bullet"/>
      <w:lvlText w:val=""/>
      <w:lvlJc w:val="left"/>
      <w:pPr>
        <w:ind w:left="842" w:hanging="360"/>
      </w:pPr>
      <w:rPr>
        <w:rFonts w:ascii="Wingdings" w:hAnsi="Wingdings" w:hint="default"/>
      </w:rPr>
    </w:lvl>
    <w:lvl w:ilvl="1" w:tplc="08090003">
      <w:start w:val="1"/>
      <w:numFmt w:val="bullet"/>
      <w:lvlText w:val="o"/>
      <w:lvlJc w:val="left"/>
      <w:pPr>
        <w:ind w:left="1562" w:hanging="360"/>
      </w:pPr>
      <w:rPr>
        <w:rFonts w:ascii="Courier New" w:hAnsi="Courier New" w:hint="default"/>
      </w:rPr>
    </w:lvl>
    <w:lvl w:ilvl="2" w:tplc="08090005">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1">
    <w:nsid w:val="064F224A"/>
    <w:multiLevelType w:val="hybridMultilevel"/>
    <w:tmpl w:val="60843A9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0C607153"/>
    <w:multiLevelType w:val="hybridMultilevel"/>
    <w:tmpl w:val="8BBE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7A459A"/>
    <w:multiLevelType w:val="multilevel"/>
    <w:tmpl w:val="C0040E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Garamond" w:hAnsi="Garamond"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decimal"/>
      <w:pStyle w:val="Heading3"/>
      <w:lvlText w:val="%1.%2.%3"/>
      <w:lvlJc w:val="left"/>
      <w:pPr>
        <w:ind w:left="720" w:hanging="720"/>
      </w:pPr>
      <w:rPr>
        <w:rFonts w:ascii="Garamond" w:hAnsi="Garamond"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0D96667A"/>
    <w:multiLevelType w:val="hybridMultilevel"/>
    <w:tmpl w:val="384E791A"/>
    <w:lvl w:ilvl="0" w:tplc="626EADA4">
      <w:start w:val="1"/>
      <w:numFmt w:val="bullet"/>
      <w:lvlText w:val=""/>
      <w:lvlJc w:val="left"/>
      <w:pPr>
        <w:tabs>
          <w:tab w:val="num" w:pos="122"/>
        </w:tabs>
        <w:ind w:left="122" w:hanging="360"/>
      </w:pPr>
      <w:rPr>
        <w:rFonts w:ascii="Wingdings" w:hAnsi="Wingdings" w:hint="default"/>
      </w:rPr>
    </w:lvl>
    <w:lvl w:ilvl="1" w:tplc="E6A26360">
      <w:start w:val="1"/>
      <w:numFmt w:val="bullet"/>
      <w:lvlText w:val=""/>
      <w:lvlJc w:val="left"/>
      <w:pPr>
        <w:tabs>
          <w:tab w:val="num" w:pos="842"/>
        </w:tabs>
        <w:ind w:left="842" w:hanging="360"/>
      </w:pPr>
      <w:rPr>
        <w:rFonts w:ascii="Wingdings" w:hAnsi="Wingdings" w:hint="default"/>
      </w:rPr>
    </w:lvl>
    <w:lvl w:ilvl="2" w:tplc="F30C9B80">
      <w:start w:val="1"/>
      <w:numFmt w:val="bullet"/>
      <w:lvlText w:val=""/>
      <w:lvlJc w:val="left"/>
      <w:pPr>
        <w:tabs>
          <w:tab w:val="num" w:pos="1562"/>
        </w:tabs>
        <w:ind w:left="1562" w:hanging="360"/>
      </w:pPr>
      <w:rPr>
        <w:rFonts w:ascii="Wingdings" w:hAnsi="Wingdings" w:hint="default"/>
      </w:rPr>
    </w:lvl>
    <w:lvl w:ilvl="3" w:tplc="2096A5BC" w:tentative="1">
      <w:start w:val="1"/>
      <w:numFmt w:val="bullet"/>
      <w:lvlText w:val=""/>
      <w:lvlJc w:val="left"/>
      <w:pPr>
        <w:tabs>
          <w:tab w:val="num" w:pos="2282"/>
        </w:tabs>
        <w:ind w:left="2282" w:hanging="360"/>
      </w:pPr>
      <w:rPr>
        <w:rFonts w:ascii="Wingdings" w:hAnsi="Wingdings" w:hint="default"/>
      </w:rPr>
    </w:lvl>
    <w:lvl w:ilvl="4" w:tplc="CB4A63BC" w:tentative="1">
      <w:start w:val="1"/>
      <w:numFmt w:val="bullet"/>
      <w:lvlText w:val=""/>
      <w:lvlJc w:val="left"/>
      <w:pPr>
        <w:tabs>
          <w:tab w:val="num" w:pos="3002"/>
        </w:tabs>
        <w:ind w:left="3002" w:hanging="360"/>
      </w:pPr>
      <w:rPr>
        <w:rFonts w:ascii="Wingdings" w:hAnsi="Wingdings" w:hint="default"/>
      </w:rPr>
    </w:lvl>
    <w:lvl w:ilvl="5" w:tplc="94109C6C" w:tentative="1">
      <w:start w:val="1"/>
      <w:numFmt w:val="bullet"/>
      <w:lvlText w:val=""/>
      <w:lvlJc w:val="left"/>
      <w:pPr>
        <w:tabs>
          <w:tab w:val="num" w:pos="3722"/>
        </w:tabs>
        <w:ind w:left="3722" w:hanging="360"/>
      </w:pPr>
      <w:rPr>
        <w:rFonts w:ascii="Wingdings" w:hAnsi="Wingdings" w:hint="default"/>
      </w:rPr>
    </w:lvl>
    <w:lvl w:ilvl="6" w:tplc="4B1615DC" w:tentative="1">
      <w:start w:val="1"/>
      <w:numFmt w:val="bullet"/>
      <w:lvlText w:val=""/>
      <w:lvlJc w:val="left"/>
      <w:pPr>
        <w:tabs>
          <w:tab w:val="num" w:pos="4442"/>
        </w:tabs>
        <w:ind w:left="4442" w:hanging="360"/>
      </w:pPr>
      <w:rPr>
        <w:rFonts w:ascii="Wingdings" w:hAnsi="Wingdings" w:hint="default"/>
      </w:rPr>
    </w:lvl>
    <w:lvl w:ilvl="7" w:tplc="13F6183A" w:tentative="1">
      <w:start w:val="1"/>
      <w:numFmt w:val="bullet"/>
      <w:lvlText w:val=""/>
      <w:lvlJc w:val="left"/>
      <w:pPr>
        <w:tabs>
          <w:tab w:val="num" w:pos="5162"/>
        </w:tabs>
        <w:ind w:left="5162" w:hanging="360"/>
      </w:pPr>
      <w:rPr>
        <w:rFonts w:ascii="Wingdings" w:hAnsi="Wingdings" w:hint="default"/>
      </w:rPr>
    </w:lvl>
    <w:lvl w:ilvl="8" w:tplc="B32C1FA2" w:tentative="1">
      <w:start w:val="1"/>
      <w:numFmt w:val="bullet"/>
      <w:lvlText w:val=""/>
      <w:lvlJc w:val="left"/>
      <w:pPr>
        <w:tabs>
          <w:tab w:val="num" w:pos="5882"/>
        </w:tabs>
        <w:ind w:left="5882" w:hanging="360"/>
      </w:pPr>
      <w:rPr>
        <w:rFonts w:ascii="Wingdings" w:hAnsi="Wingdings" w:hint="default"/>
      </w:rPr>
    </w:lvl>
  </w:abstractNum>
  <w:abstractNum w:abstractNumId="15">
    <w:nsid w:val="12DD6D17"/>
    <w:multiLevelType w:val="hybridMultilevel"/>
    <w:tmpl w:val="D3C8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BF745C"/>
    <w:multiLevelType w:val="hybridMultilevel"/>
    <w:tmpl w:val="9B50C8C2"/>
    <w:lvl w:ilvl="0" w:tplc="4A7C0CCA">
      <w:start w:val="1"/>
      <w:numFmt w:val="bullet"/>
      <w:lvlText w:val=""/>
      <w:lvlJc w:val="left"/>
      <w:pPr>
        <w:tabs>
          <w:tab w:val="num" w:pos="1038"/>
        </w:tabs>
        <w:ind w:left="1038" w:hanging="360"/>
      </w:pPr>
      <w:rPr>
        <w:rFonts w:ascii="Symbol" w:hAnsi="Symbol" w:hint="default"/>
      </w:rPr>
    </w:lvl>
    <w:lvl w:ilvl="1" w:tplc="DDCA2B00">
      <w:start w:val="1"/>
      <w:numFmt w:val="bullet"/>
      <w:lvlText w:val=""/>
      <w:lvlJc w:val="left"/>
      <w:pPr>
        <w:tabs>
          <w:tab w:val="num" w:pos="1758"/>
        </w:tabs>
        <w:ind w:left="1758" w:hanging="360"/>
      </w:pPr>
      <w:rPr>
        <w:rFonts w:ascii="Symbol" w:hAnsi="Symbol" w:hint="default"/>
      </w:rPr>
    </w:lvl>
    <w:lvl w:ilvl="2" w:tplc="FF8E8BE6">
      <w:start w:val="1"/>
      <w:numFmt w:val="bullet"/>
      <w:lvlText w:val=""/>
      <w:lvlJc w:val="left"/>
      <w:pPr>
        <w:tabs>
          <w:tab w:val="num" w:pos="2478"/>
        </w:tabs>
        <w:ind w:left="2478" w:hanging="360"/>
      </w:pPr>
      <w:rPr>
        <w:rFonts w:ascii="Symbol" w:hAnsi="Symbol" w:hint="default"/>
      </w:rPr>
    </w:lvl>
    <w:lvl w:ilvl="3" w:tplc="71203DD2" w:tentative="1">
      <w:start w:val="1"/>
      <w:numFmt w:val="bullet"/>
      <w:lvlText w:val=""/>
      <w:lvlJc w:val="left"/>
      <w:pPr>
        <w:tabs>
          <w:tab w:val="num" w:pos="3198"/>
        </w:tabs>
        <w:ind w:left="3198" w:hanging="360"/>
      </w:pPr>
      <w:rPr>
        <w:rFonts w:ascii="Symbol" w:hAnsi="Symbol" w:hint="default"/>
      </w:rPr>
    </w:lvl>
    <w:lvl w:ilvl="4" w:tplc="F86865F0" w:tentative="1">
      <w:start w:val="1"/>
      <w:numFmt w:val="bullet"/>
      <w:lvlText w:val=""/>
      <w:lvlJc w:val="left"/>
      <w:pPr>
        <w:tabs>
          <w:tab w:val="num" w:pos="3918"/>
        </w:tabs>
        <w:ind w:left="3918" w:hanging="360"/>
      </w:pPr>
      <w:rPr>
        <w:rFonts w:ascii="Symbol" w:hAnsi="Symbol" w:hint="default"/>
      </w:rPr>
    </w:lvl>
    <w:lvl w:ilvl="5" w:tplc="21E0DD48" w:tentative="1">
      <w:start w:val="1"/>
      <w:numFmt w:val="bullet"/>
      <w:lvlText w:val=""/>
      <w:lvlJc w:val="left"/>
      <w:pPr>
        <w:tabs>
          <w:tab w:val="num" w:pos="4638"/>
        </w:tabs>
        <w:ind w:left="4638" w:hanging="360"/>
      </w:pPr>
      <w:rPr>
        <w:rFonts w:ascii="Symbol" w:hAnsi="Symbol" w:hint="default"/>
      </w:rPr>
    </w:lvl>
    <w:lvl w:ilvl="6" w:tplc="B9F81518" w:tentative="1">
      <w:start w:val="1"/>
      <w:numFmt w:val="bullet"/>
      <w:lvlText w:val=""/>
      <w:lvlJc w:val="left"/>
      <w:pPr>
        <w:tabs>
          <w:tab w:val="num" w:pos="5358"/>
        </w:tabs>
        <w:ind w:left="5358" w:hanging="360"/>
      </w:pPr>
      <w:rPr>
        <w:rFonts w:ascii="Symbol" w:hAnsi="Symbol" w:hint="default"/>
      </w:rPr>
    </w:lvl>
    <w:lvl w:ilvl="7" w:tplc="9A2271AC" w:tentative="1">
      <w:start w:val="1"/>
      <w:numFmt w:val="bullet"/>
      <w:lvlText w:val=""/>
      <w:lvlJc w:val="left"/>
      <w:pPr>
        <w:tabs>
          <w:tab w:val="num" w:pos="6078"/>
        </w:tabs>
        <w:ind w:left="6078" w:hanging="360"/>
      </w:pPr>
      <w:rPr>
        <w:rFonts w:ascii="Symbol" w:hAnsi="Symbol" w:hint="default"/>
      </w:rPr>
    </w:lvl>
    <w:lvl w:ilvl="8" w:tplc="7436E078" w:tentative="1">
      <w:start w:val="1"/>
      <w:numFmt w:val="bullet"/>
      <w:lvlText w:val=""/>
      <w:lvlJc w:val="left"/>
      <w:pPr>
        <w:tabs>
          <w:tab w:val="num" w:pos="6798"/>
        </w:tabs>
        <w:ind w:left="6798" w:hanging="360"/>
      </w:pPr>
      <w:rPr>
        <w:rFonts w:ascii="Symbol" w:hAnsi="Symbol" w:hint="default"/>
      </w:rPr>
    </w:lvl>
  </w:abstractNum>
  <w:abstractNum w:abstractNumId="17">
    <w:nsid w:val="224A208E"/>
    <w:multiLevelType w:val="hybridMultilevel"/>
    <w:tmpl w:val="5FD4B2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71E6F50"/>
    <w:multiLevelType w:val="hybridMultilevel"/>
    <w:tmpl w:val="C05AC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2C8F13D4"/>
    <w:multiLevelType w:val="hybridMultilevel"/>
    <w:tmpl w:val="2A4E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663324"/>
    <w:multiLevelType w:val="hybridMultilevel"/>
    <w:tmpl w:val="58F8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F776F"/>
    <w:multiLevelType w:val="hybridMultilevel"/>
    <w:tmpl w:val="62D6FFC4"/>
    <w:lvl w:ilvl="0" w:tplc="4A7C0CCA">
      <w:start w:val="1"/>
      <w:numFmt w:val="bullet"/>
      <w:lvlText w:val=""/>
      <w:lvlJc w:val="left"/>
      <w:pPr>
        <w:ind w:left="1038" w:hanging="360"/>
      </w:pPr>
      <w:rPr>
        <w:rFonts w:ascii="Symbol" w:hAnsi="Symbol" w:hint="default"/>
      </w:rPr>
    </w:lvl>
    <w:lvl w:ilvl="1" w:tplc="DDCA2B00">
      <w:start w:val="1"/>
      <w:numFmt w:val="bullet"/>
      <w:lvlText w:val=""/>
      <w:lvlJc w:val="left"/>
      <w:pPr>
        <w:tabs>
          <w:tab w:val="num" w:pos="1758"/>
        </w:tabs>
        <w:ind w:left="1758" w:hanging="360"/>
      </w:pPr>
      <w:rPr>
        <w:rFonts w:ascii="Symbol" w:hAnsi="Symbol" w:hint="default"/>
      </w:rPr>
    </w:lvl>
    <w:lvl w:ilvl="2" w:tplc="FF8E8BE6">
      <w:start w:val="1"/>
      <w:numFmt w:val="bullet"/>
      <w:lvlText w:val=""/>
      <w:lvlJc w:val="left"/>
      <w:pPr>
        <w:tabs>
          <w:tab w:val="num" w:pos="2478"/>
        </w:tabs>
        <w:ind w:left="2478" w:hanging="360"/>
      </w:pPr>
      <w:rPr>
        <w:rFonts w:ascii="Symbol" w:hAnsi="Symbol" w:hint="default"/>
      </w:rPr>
    </w:lvl>
    <w:lvl w:ilvl="3" w:tplc="71203DD2" w:tentative="1">
      <w:start w:val="1"/>
      <w:numFmt w:val="bullet"/>
      <w:lvlText w:val=""/>
      <w:lvlJc w:val="left"/>
      <w:pPr>
        <w:tabs>
          <w:tab w:val="num" w:pos="3198"/>
        </w:tabs>
        <w:ind w:left="3198" w:hanging="360"/>
      </w:pPr>
      <w:rPr>
        <w:rFonts w:ascii="Symbol" w:hAnsi="Symbol" w:hint="default"/>
      </w:rPr>
    </w:lvl>
    <w:lvl w:ilvl="4" w:tplc="F86865F0" w:tentative="1">
      <w:start w:val="1"/>
      <w:numFmt w:val="bullet"/>
      <w:lvlText w:val=""/>
      <w:lvlJc w:val="left"/>
      <w:pPr>
        <w:tabs>
          <w:tab w:val="num" w:pos="3918"/>
        </w:tabs>
        <w:ind w:left="3918" w:hanging="360"/>
      </w:pPr>
      <w:rPr>
        <w:rFonts w:ascii="Symbol" w:hAnsi="Symbol" w:hint="default"/>
      </w:rPr>
    </w:lvl>
    <w:lvl w:ilvl="5" w:tplc="21E0DD48" w:tentative="1">
      <w:start w:val="1"/>
      <w:numFmt w:val="bullet"/>
      <w:lvlText w:val=""/>
      <w:lvlJc w:val="left"/>
      <w:pPr>
        <w:tabs>
          <w:tab w:val="num" w:pos="4638"/>
        </w:tabs>
        <w:ind w:left="4638" w:hanging="360"/>
      </w:pPr>
      <w:rPr>
        <w:rFonts w:ascii="Symbol" w:hAnsi="Symbol" w:hint="default"/>
      </w:rPr>
    </w:lvl>
    <w:lvl w:ilvl="6" w:tplc="B9F81518" w:tentative="1">
      <w:start w:val="1"/>
      <w:numFmt w:val="bullet"/>
      <w:lvlText w:val=""/>
      <w:lvlJc w:val="left"/>
      <w:pPr>
        <w:tabs>
          <w:tab w:val="num" w:pos="5358"/>
        </w:tabs>
        <w:ind w:left="5358" w:hanging="360"/>
      </w:pPr>
      <w:rPr>
        <w:rFonts w:ascii="Symbol" w:hAnsi="Symbol" w:hint="default"/>
      </w:rPr>
    </w:lvl>
    <w:lvl w:ilvl="7" w:tplc="9A2271AC" w:tentative="1">
      <w:start w:val="1"/>
      <w:numFmt w:val="bullet"/>
      <w:lvlText w:val=""/>
      <w:lvlJc w:val="left"/>
      <w:pPr>
        <w:tabs>
          <w:tab w:val="num" w:pos="6078"/>
        </w:tabs>
        <w:ind w:left="6078" w:hanging="360"/>
      </w:pPr>
      <w:rPr>
        <w:rFonts w:ascii="Symbol" w:hAnsi="Symbol" w:hint="default"/>
      </w:rPr>
    </w:lvl>
    <w:lvl w:ilvl="8" w:tplc="7436E078" w:tentative="1">
      <w:start w:val="1"/>
      <w:numFmt w:val="bullet"/>
      <w:lvlText w:val=""/>
      <w:lvlJc w:val="left"/>
      <w:pPr>
        <w:tabs>
          <w:tab w:val="num" w:pos="6798"/>
        </w:tabs>
        <w:ind w:left="6798" w:hanging="360"/>
      </w:pPr>
      <w:rPr>
        <w:rFonts w:ascii="Symbol" w:hAnsi="Symbol" w:hint="default"/>
      </w:rPr>
    </w:lvl>
  </w:abstractNum>
  <w:abstractNum w:abstractNumId="22">
    <w:nsid w:val="41826B60"/>
    <w:multiLevelType w:val="hybridMultilevel"/>
    <w:tmpl w:val="3AD8B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D3652F7"/>
    <w:multiLevelType w:val="hybridMultilevel"/>
    <w:tmpl w:val="36EEC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AC5E85"/>
    <w:multiLevelType w:val="hybridMultilevel"/>
    <w:tmpl w:val="E06C2D74"/>
    <w:lvl w:ilvl="0" w:tplc="E3B63C68">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1482A"/>
    <w:multiLevelType w:val="hybridMultilevel"/>
    <w:tmpl w:val="6ED6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8C33C2"/>
    <w:multiLevelType w:val="hybridMultilevel"/>
    <w:tmpl w:val="CB86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75380F"/>
    <w:multiLevelType w:val="hybridMultilevel"/>
    <w:tmpl w:val="B9AC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B7A55"/>
    <w:multiLevelType w:val="hybridMultilevel"/>
    <w:tmpl w:val="ACEA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5"/>
  </w:num>
  <w:num w:numId="4">
    <w:abstractNumId w:val="12"/>
  </w:num>
  <w:num w:numId="5">
    <w:abstractNumId w:val="28"/>
  </w:num>
  <w:num w:numId="6">
    <w:abstractNumId w:val="27"/>
  </w:num>
  <w:num w:numId="7">
    <w:abstractNumId w:val="25"/>
  </w:num>
  <w:num w:numId="8">
    <w:abstractNumId w:val="20"/>
  </w:num>
  <w:num w:numId="9">
    <w:abstractNumId w:val="14"/>
  </w:num>
  <w:num w:numId="10">
    <w:abstractNumId w:val="16"/>
  </w:num>
  <w:num w:numId="11">
    <w:abstractNumId w:val="11"/>
  </w:num>
  <w:num w:numId="12">
    <w:abstractNumId w:val="18"/>
  </w:num>
  <w:num w:numId="13">
    <w:abstractNumId w:val="19"/>
  </w:num>
  <w:num w:numId="14">
    <w:abstractNumId w:val="26"/>
  </w:num>
  <w:num w:numId="15">
    <w:abstractNumId w:val="10"/>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23"/>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numFmt w:val="decimal"/>
    <w:endnote w:id="-1"/>
    <w:endnote w:id="0"/>
  </w:endnotePr>
  <w:compat/>
  <w:rsids>
    <w:rsidRoot w:val="005326C1"/>
    <w:rsid w:val="00000E1E"/>
    <w:rsid w:val="000026F6"/>
    <w:rsid w:val="000049C8"/>
    <w:rsid w:val="00006F4D"/>
    <w:rsid w:val="0001419E"/>
    <w:rsid w:val="000160C6"/>
    <w:rsid w:val="00021F63"/>
    <w:rsid w:val="00035748"/>
    <w:rsid w:val="000419E3"/>
    <w:rsid w:val="00052033"/>
    <w:rsid w:val="00054316"/>
    <w:rsid w:val="00054930"/>
    <w:rsid w:val="00057664"/>
    <w:rsid w:val="00062680"/>
    <w:rsid w:val="0006581C"/>
    <w:rsid w:val="00067647"/>
    <w:rsid w:val="00071B29"/>
    <w:rsid w:val="00072579"/>
    <w:rsid w:val="000730ED"/>
    <w:rsid w:val="00075D80"/>
    <w:rsid w:val="00077B7D"/>
    <w:rsid w:val="0008430C"/>
    <w:rsid w:val="00097172"/>
    <w:rsid w:val="00097CFB"/>
    <w:rsid w:val="000A0ACC"/>
    <w:rsid w:val="000A1132"/>
    <w:rsid w:val="000A29AD"/>
    <w:rsid w:val="000A5BF7"/>
    <w:rsid w:val="000A7D09"/>
    <w:rsid w:val="000A7ED8"/>
    <w:rsid w:val="000B0A65"/>
    <w:rsid w:val="000B14DE"/>
    <w:rsid w:val="000B16F2"/>
    <w:rsid w:val="000B2A0F"/>
    <w:rsid w:val="000B36C5"/>
    <w:rsid w:val="000B4382"/>
    <w:rsid w:val="000B49D2"/>
    <w:rsid w:val="000C4294"/>
    <w:rsid w:val="000C538D"/>
    <w:rsid w:val="000C64F0"/>
    <w:rsid w:val="000D0F4E"/>
    <w:rsid w:val="000D3708"/>
    <w:rsid w:val="000F03D8"/>
    <w:rsid w:val="000F1647"/>
    <w:rsid w:val="000F1DC4"/>
    <w:rsid w:val="000F313D"/>
    <w:rsid w:val="000F3C4B"/>
    <w:rsid w:val="00103951"/>
    <w:rsid w:val="001049E9"/>
    <w:rsid w:val="001051B9"/>
    <w:rsid w:val="0010584D"/>
    <w:rsid w:val="00105BFA"/>
    <w:rsid w:val="001064F0"/>
    <w:rsid w:val="001079E7"/>
    <w:rsid w:val="00110AEF"/>
    <w:rsid w:val="00110BF0"/>
    <w:rsid w:val="0011129D"/>
    <w:rsid w:val="00112948"/>
    <w:rsid w:val="00112EDC"/>
    <w:rsid w:val="00113F32"/>
    <w:rsid w:val="00116039"/>
    <w:rsid w:val="0011609D"/>
    <w:rsid w:val="00117B78"/>
    <w:rsid w:val="00122583"/>
    <w:rsid w:val="0013006F"/>
    <w:rsid w:val="0013085A"/>
    <w:rsid w:val="0014386D"/>
    <w:rsid w:val="00143BCF"/>
    <w:rsid w:val="00151BF0"/>
    <w:rsid w:val="001539C3"/>
    <w:rsid w:val="0015661C"/>
    <w:rsid w:val="00160554"/>
    <w:rsid w:val="00163878"/>
    <w:rsid w:val="00165AFE"/>
    <w:rsid w:val="00166A8B"/>
    <w:rsid w:val="001679CE"/>
    <w:rsid w:val="00167FC8"/>
    <w:rsid w:val="00173568"/>
    <w:rsid w:val="001750D8"/>
    <w:rsid w:val="001836A0"/>
    <w:rsid w:val="001862BB"/>
    <w:rsid w:val="00186C2F"/>
    <w:rsid w:val="00187211"/>
    <w:rsid w:val="00187FF4"/>
    <w:rsid w:val="00195738"/>
    <w:rsid w:val="0019649A"/>
    <w:rsid w:val="001A01FF"/>
    <w:rsid w:val="001A24EF"/>
    <w:rsid w:val="001A27AE"/>
    <w:rsid w:val="001A5F23"/>
    <w:rsid w:val="001A6966"/>
    <w:rsid w:val="001B2F04"/>
    <w:rsid w:val="001B306D"/>
    <w:rsid w:val="001B437A"/>
    <w:rsid w:val="001B47D1"/>
    <w:rsid w:val="001C11FC"/>
    <w:rsid w:val="001C1974"/>
    <w:rsid w:val="001C1D2D"/>
    <w:rsid w:val="001C68CE"/>
    <w:rsid w:val="001C7924"/>
    <w:rsid w:val="001D17F8"/>
    <w:rsid w:val="001D29E2"/>
    <w:rsid w:val="001E4871"/>
    <w:rsid w:val="001E6DD0"/>
    <w:rsid w:val="001E72BB"/>
    <w:rsid w:val="001F513C"/>
    <w:rsid w:val="001F60A3"/>
    <w:rsid w:val="00200916"/>
    <w:rsid w:val="00205816"/>
    <w:rsid w:val="00207771"/>
    <w:rsid w:val="00211DD6"/>
    <w:rsid w:val="00215CC0"/>
    <w:rsid w:val="00220584"/>
    <w:rsid w:val="0022086A"/>
    <w:rsid w:val="002225D1"/>
    <w:rsid w:val="00222C61"/>
    <w:rsid w:val="002242DF"/>
    <w:rsid w:val="002302C8"/>
    <w:rsid w:val="00231445"/>
    <w:rsid w:val="00231A3A"/>
    <w:rsid w:val="002339A9"/>
    <w:rsid w:val="002365E8"/>
    <w:rsid w:val="00236FD8"/>
    <w:rsid w:val="00241E98"/>
    <w:rsid w:val="00244E85"/>
    <w:rsid w:val="00246AC2"/>
    <w:rsid w:val="00250E85"/>
    <w:rsid w:val="00252910"/>
    <w:rsid w:val="0025530F"/>
    <w:rsid w:val="00262635"/>
    <w:rsid w:val="002648D1"/>
    <w:rsid w:val="002667A9"/>
    <w:rsid w:val="00266B4D"/>
    <w:rsid w:val="00271A85"/>
    <w:rsid w:val="0028061F"/>
    <w:rsid w:val="002859F3"/>
    <w:rsid w:val="00285E62"/>
    <w:rsid w:val="00286415"/>
    <w:rsid w:val="00287A67"/>
    <w:rsid w:val="002950E4"/>
    <w:rsid w:val="002A22EE"/>
    <w:rsid w:val="002C0D64"/>
    <w:rsid w:val="002C51A3"/>
    <w:rsid w:val="002D0B6F"/>
    <w:rsid w:val="002D1211"/>
    <w:rsid w:val="002D14F3"/>
    <w:rsid w:val="002D5000"/>
    <w:rsid w:val="002E08E9"/>
    <w:rsid w:val="002E683C"/>
    <w:rsid w:val="002F1909"/>
    <w:rsid w:val="002F6805"/>
    <w:rsid w:val="002F681E"/>
    <w:rsid w:val="002F6C82"/>
    <w:rsid w:val="002F725B"/>
    <w:rsid w:val="00310941"/>
    <w:rsid w:val="0031163C"/>
    <w:rsid w:val="00312668"/>
    <w:rsid w:val="00312C74"/>
    <w:rsid w:val="003167D9"/>
    <w:rsid w:val="00317FC6"/>
    <w:rsid w:val="00320E58"/>
    <w:rsid w:val="0032790F"/>
    <w:rsid w:val="00335306"/>
    <w:rsid w:val="0033762E"/>
    <w:rsid w:val="003416DA"/>
    <w:rsid w:val="00342F8A"/>
    <w:rsid w:val="003515C2"/>
    <w:rsid w:val="00354311"/>
    <w:rsid w:val="00357938"/>
    <w:rsid w:val="00365F7E"/>
    <w:rsid w:val="00367701"/>
    <w:rsid w:val="0037647B"/>
    <w:rsid w:val="00377E66"/>
    <w:rsid w:val="0038136E"/>
    <w:rsid w:val="00386314"/>
    <w:rsid w:val="00390388"/>
    <w:rsid w:val="00393779"/>
    <w:rsid w:val="0039593A"/>
    <w:rsid w:val="00397EE3"/>
    <w:rsid w:val="003A00F5"/>
    <w:rsid w:val="003A2B7A"/>
    <w:rsid w:val="003A6290"/>
    <w:rsid w:val="003A7727"/>
    <w:rsid w:val="003C058D"/>
    <w:rsid w:val="003C0AF8"/>
    <w:rsid w:val="003C0F86"/>
    <w:rsid w:val="003C1171"/>
    <w:rsid w:val="003C1358"/>
    <w:rsid w:val="003C1D4A"/>
    <w:rsid w:val="003C5459"/>
    <w:rsid w:val="003C7BD2"/>
    <w:rsid w:val="003D01FE"/>
    <w:rsid w:val="003D2E5F"/>
    <w:rsid w:val="003D30A3"/>
    <w:rsid w:val="003D584D"/>
    <w:rsid w:val="003D71B6"/>
    <w:rsid w:val="003E023D"/>
    <w:rsid w:val="003E11FB"/>
    <w:rsid w:val="003E513C"/>
    <w:rsid w:val="003E5BAA"/>
    <w:rsid w:val="003E723B"/>
    <w:rsid w:val="003F0971"/>
    <w:rsid w:val="003F47D5"/>
    <w:rsid w:val="004014F1"/>
    <w:rsid w:val="004122A4"/>
    <w:rsid w:val="00414155"/>
    <w:rsid w:val="00414D8B"/>
    <w:rsid w:val="004223A4"/>
    <w:rsid w:val="0042340D"/>
    <w:rsid w:val="00424357"/>
    <w:rsid w:val="00435AF1"/>
    <w:rsid w:val="004400E5"/>
    <w:rsid w:val="00442A01"/>
    <w:rsid w:val="00444ACA"/>
    <w:rsid w:val="004469D1"/>
    <w:rsid w:val="0045166D"/>
    <w:rsid w:val="00455264"/>
    <w:rsid w:val="004565E8"/>
    <w:rsid w:val="004573EC"/>
    <w:rsid w:val="00470DE0"/>
    <w:rsid w:val="0047195E"/>
    <w:rsid w:val="00474A6E"/>
    <w:rsid w:val="0047574D"/>
    <w:rsid w:val="00475E51"/>
    <w:rsid w:val="004775BF"/>
    <w:rsid w:val="00483652"/>
    <w:rsid w:val="00484B95"/>
    <w:rsid w:val="0049119F"/>
    <w:rsid w:val="004933E4"/>
    <w:rsid w:val="004934A4"/>
    <w:rsid w:val="00494324"/>
    <w:rsid w:val="00496408"/>
    <w:rsid w:val="00497005"/>
    <w:rsid w:val="004A14F1"/>
    <w:rsid w:val="004A5A27"/>
    <w:rsid w:val="004A6CD9"/>
    <w:rsid w:val="004B055F"/>
    <w:rsid w:val="004B2C7A"/>
    <w:rsid w:val="004B4B86"/>
    <w:rsid w:val="004B7CDB"/>
    <w:rsid w:val="004C1B45"/>
    <w:rsid w:val="004D1C80"/>
    <w:rsid w:val="004D76F9"/>
    <w:rsid w:val="004E20C6"/>
    <w:rsid w:val="004E3BE9"/>
    <w:rsid w:val="004E62D7"/>
    <w:rsid w:val="005029A6"/>
    <w:rsid w:val="00502B48"/>
    <w:rsid w:val="00502E3A"/>
    <w:rsid w:val="00504BDE"/>
    <w:rsid w:val="0051071A"/>
    <w:rsid w:val="00520D8D"/>
    <w:rsid w:val="00527996"/>
    <w:rsid w:val="005326C1"/>
    <w:rsid w:val="00533D72"/>
    <w:rsid w:val="005353CE"/>
    <w:rsid w:val="00537112"/>
    <w:rsid w:val="00537B30"/>
    <w:rsid w:val="00542CAA"/>
    <w:rsid w:val="00544BD8"/>
    <w:rsid w:val="00545560"/>
    <w:rsid w:val="00545930"/>
    <w:rsid w:val="005554F4"/>
    <w:rsid w:val="00563CF1"/>
    <w:rsid w:val="0056474B"/>
    <w:rsid w:val="0056505F"/>
    <w:rsid w:val="0056686B"/>
    <w:rsid w:val="00571286"/>
    <w:rsid w:val="00572FC7"/>
    <w:rsid w:val="00580B99"/>
    <w:rsid w:val="00580C1B"/>
    <w:rsid w:val="00586168"/>
    <w:rsid w:val="00587AC0"/>
    <w:rsid w:val="005911B2"/>
    <w:rsid w:val="00591A02"/>
    <w:rsid w:val="00591D66"/>
    <w:rsid w:val="00595282"/>
    <w:rsid w:val="00596F2A"/>
    <w:rsid w:val="005A0169"/>
    <w:rsid w:val="005A2B73"/>
    <w:rsid w:val="005A5DA4"/>
    <w:rsid w:val="005A6C06"/>
    <w:rsid w:val="005B0007"/>
    <w:rsid w:val="005B3F71"/>
    <w:rsid w:val="005B797B"/>
    <w:rsid w:val="005C39EF"/>
    <w:rsid w:val="005C4498"/>
    <w:rsid w:val="005D283C"/>
    <w:rsid w:val="005D6724"/>
    <w:rsid w:val="005E1FA3"/>
    <w:rsid w:val="005F3E70"/>
    <w:rsid w:val="005F578D"/>
    <w:rsid w:val="00600A34"/>
    <w:rsid w:val="006070B9"/>
    <w:rsid w:val="0061241A"/>
    <w:rsid w:val="00614C4D"/>
    <w:rsid w:val="0062627B"/>
    <w:rsid w:val="00632B25"/>
    <w:rsid w:val="00634B9D"/>
    <w:rsid w:val="0063523B"/>
    <w:rsid w:val="0063594A"/>
    <w:rsid w:val="006441A4"/>
    <w:rsid w:val="00661C46"/>
    <w:rsid w:val="0067515D"/>
    <w:rsid w:val="0068177E"/>
    <w:rsid w:val="00686374"/>
    <w:rsid w:val="006868A9"/>
    <w:rsid w:val="00686E62"/>
    <w:rsid w:val="006A0744"/>
    <w:rsid w:val="006B16FF"/>
    <w:rsid w:val="006B4FB5"/>
    <w:rsid w:val="006B6153"/>
    <w:rsid w:val="006C12B8"/>
    <w:rsid w:val="006C5210"/>
    <w:rsid w:val="006C5BF5"/>
    <w:rsid w:val="006C652C"/>
    <w:rsid w:val="006D63E2"/>
    <w:rsid w:val="006D762B"/>
    <w:rsid w:val="006D7828"/>
    <w:rsid w:val="006E2039"/>
    <w:rsid w:val="006E6478"/>
    <w:rsid w:val="006F09C7"/>
    <w:rsid w:val="006F0C83"/>
    <w:rsid w:val="006F2EBE"/>
    <w:rsid w:val="006F6D4E"/>
    <w:rsid w:val="007026DC"/>
    <w:rsid w:val="0071510E"/>
    <w:rsid w:val="00721232"/>
    <w:rsid w:val="00724263"/>
    <w:rsid w:val="00726E41"/>
    <w:rsid w:val="00727471"/>
    <w:rsid w:val="00727B8E"/>
    <w:rsid w:val="00731F94"/>
    <w:rsid w:val="0075281D"/>
    <w:rsid w:val="007605D4"/>
    <w:rsid w:val="0076368C"/>
    <w:rsid w:val="00766635"/>
    <w:rsid w:val="00767C07"/>
    <w:rsid w:val="00771F0A"/>
    <w:rsid w:val="00772ECA"/>
    <w:rsid w:val="00772FFB"/>
    <w:rsid w:val="00773566"/>
    <w:rsid w:val="00784823"/>
    <w:rsid w:val="00785F4A"/>
    <w:rsid w:val="007864AF"/>
    <w:rsid w:val="007873AD"/>
    <w:rsid w:val="0079559B"/>
    <w:rsid w:val="0079666B"/>
    <w:rsid w:val="007A3A4B"/>
    <w:rsid w:val="007B0CD4"/>
    <w:rsid w:val="007B1073"/>
    <w:rsid w:val="007B24BA"/>
    <w:rsid w:val="007B7DC8"/>
    <w:rsid w:val="007C0E69"/>
    <w:rsid w:val="007C5A7E"/>
    <w:rsid w:val="007C5B5D"/>
    <w:rsid w:val="007C7326"/>
    <w:rsid w:val="007D0FFC"/>
    <w:rsid w:val="007D112C"/>
    <w:rsid w:val="007D1B81"/>
    <w:rsid w:val="007D20B7"/>
    <w:rsid w:val="007D3409"/>
    <w:rsid w:val="007D3EA1"/>
    <w:rsid w:val="007E1FAB"/>
    <w:rsid w:val="007E5C02"/>
    <w:rsid w:val="007F2416"/>
    <w:rsid w:val="007F6282"/>
    <w:rsid w:val="007F64AE"/>
    <w:rsid w:val="007F7AD2"/>
    <w:rsid w:val="00807486"/>
    <w:rsid w:val="00812BCD"/>
    <w:rsid w:val="008160F7"/>
    <w:rsid w:val="00816132"/>
    <w:rsid w:val="00820FDD"/>
    <w:rsid w:val="00822957"/>
    <w:rsid w:val="00822B9E"/>
    <w:rsid w:val="00822CC4"/>
    <w:rsid w:val="00827054"/>
    <w:rsid w:val="00830805"/>
    <w:rsid w:val="008340A9"/>
    <w:rsid w:val="0083425D"/>
    <w:rsid w:val="008345A1"/>
    <w:rsid w:val="00835B82"/>
    <w:rsid w:val="00836409"/>
    <w:rsid w:val="00836AB8"/>
    <w:rsid w:val="008371E3"/>
    <w:rsid w:val="00841335"/>
    <w:rsid w:val="0085656F"/>
    <w:rsid w:val="008577FB"/>
    <w:rsid w:val="0086175B"/>
    <w:rsid w:val="008617EB"/>
    <w:rsid w:val="00862B38"/>
    <w:rsid w:val="00863802"/>
    <w:rsid w:val="008678B7"/>
    <w:rsid w:val="0087098D"/>
    <w:rsid w:val="00872FB0"/>
    <w:rsid w:val="00873426"/>
    <w:rsid w:val="00873A0E"/>
    <w:rsid w:val="008774F0"/>
    <w:rsid w:val="008802E3"/>
    <w:rsid w:val="00881EC5"/>
    <w:rsid w:val="008841AA"/>
    <w:rsid w:val="00887975"/>
    <w:rsid w:val="0089256B"/>
    <w:rsid w:val="0089375F"/>
    <w:rsid w:val="008A013D"/>
    <w:rsid w:val="008A1FB1"/>
    <w:rsid w:val="008A2034"/>
    <w:rsid w:val="008A6298"/>
    <w:rsid w:val="008A6BB8"/>
    <w:rsid w:val="008B4D0B"/>
    <w:rsid w:val="008B6D4E"/>
    <w:rsid w:val="008C2851"/>
    <w:rsid w:val="008C6018"/>
    <w:rsid w:val="008C6B6F"/>
    <w:rsid w:val="008D2BED"/>
    <w:rsid w:val="008D4A6D"/>
    <w:rsid w:val="008D7F36"/>
    <w:rsid w:val="008E049D"/>
    <w:rsid w:val="008E0CBF"/>
    <w:rsid w:val="008E2EA7"/>
    <w:rsid w:val="008E35D9"/>
    <w:rsid w:val="008E5062"/>
    <w:rsid w:val="008E7A57"/>
    <w:rsid w:val="008F4F0C"/>
    <w:rsid w:val="00900930"/>
    <w:rsid w:val="00902D5B"/>
    <w:rsid w:val="00905E32"/>
    <w:rsid w:val="00912E56"/>
    <w:rsid w:val="00915768"/>
    <w:rsid w:val="0092012C"/>
    <w:rsid w:val="00925240"/>
    <w:rsid w:val="00930A78"/>
    <w:rsid w:val="00940B50"/>
    <w:rsid w:val="009429B1"/>
    <w:rsid w:val="00947B38"/>
    <w:rsid w:val="009503E2"/>
    <w:rsid w:val="00955DA0"/>
    <w:rsid w:val="00955E7E"/>
    <w:rsid w:val="009612C1"/>
    <w:rsid w:val="00965937"/>
    <w:rsid w:val="0097261E"/>
    <w:rsid w:val="00975DF8"/>
    <w:rsid w:val="00983F82"/>
    <w:rsid w:val="00986917"/>
    <w:rsid w:val="00991A4B"/>
    <w:rsid w:val="00993960"/>
    <w:rsid w:val="00993A63"/>
    <w:rsid w:val="00993BB3"/>
    <w:rsid w:val="00995F3C"/>
    <w:rsid w:val="009A1E2C"/>
    <w:rsid w:val="009A3DCE"/>
    <w:rsid w:val="009A5836"/>
    <w:rsid w:val="009B0942"/>
    <w:rsid w:val="009B143B"/>
    <w:rsid w:val="009B21B2"/>
    <w:rsid w:val="009B46B2"/>
    <w:rsid w:val="009B535F"/>
    <w:rsid w:val="009C05CF"/>
    <w:rsid w:val="009C06A4"/>
    <w:rsid w:val="009C2975"/>
    <w:rsid w:val="009C4825"/>
    <w:rsid w:val="009C4F76"/>
    <w:rsid w:val="009D0E16"/>
    <w:rsid w:val="009D296D"/>
    <w:rsid w:val="009D7DC6"/>
    <w:rsid w:val="009E0000"/>
    <w:rsid w:val="009E21A0"/>
    <w:rsid w:val="009E4724"/>
    <w:rsid w:val="009E4798"/>
    <w:rsid w:val="009E5633"/>
    <w:rsid w:val="009E5D3D"/>
    <w:rsid w:val="009F22F2"/>
    <w:rsid w:val="009F36B7"/>
    <w:rsid w:val="00A05AEA"/>
    <w:rsid w:val="00A06256"/>
    <w:rsid w:val="00A064B3"/>
    <w:rsid w:val="00A07A21"/>
    <w:rsid w:val="00A205DF"/>
    <w:rsid w:val="00A227EC"/>
    <w:rsid w:val="00A23976"/>
    <w:rsid w:val="00A302AD"/>
    <w:rsid w:val="00A3368D"/>
    <w:rsid w:val="00A336D6"/>
    <w:rsid w:val="00A351AF"/>
    <w:rsid w:val="00A37D12"/>
    <w:rsid w:val="00A43CD6"/>
    <w:rsid w:val="00A44371"/>
    <w:rsid w:val="00A44468"/>
    <w:rsid w:val="00A46B17"/>
    <w:rsid w:val="00A475AF"/>
    <w:rsid w:val="00A5731C"/>
    <w:rsid w:val="00A60A6A"/>
    <w:rsid w:val="00A64D38"/>
    <w:rsid w:val="00A67487"/>
    <w:rsid w:val="00A77E37"/>
    <w:rsid w:val="00A82BF9"/>
    <w:rsid w:val="00A902D9"/>
    <w:rsid w:val="00A92174"/>
    <w:rsid w:val="00A92F3C"/>
    <w:rsid w:val="00A9723B"/>
    <w:rsid w:val="00AA45AE"/>
    <w:rsid w:val="00AA5048"/>
    <w:rsid w:val="00AA5BF5"/>
    <w:rsid w:val="00AA768E"/>
    <w:rsid w:val="00AB3789"/>
    <w:rsid w:val="00AB47DA"/>
    <w:rsid w:val="00AB5334"/>
    <w:rsid w:val="00AB75F8"/>
    <w:rsid w:val="00AB7A28"/>
    <w:rsid w:val="00AC1709"/>
    <w:rsid w:val="00AC3CFD"/>
    <w:rsid w:val="00AD29A3"/>
    <w:rsid w:val="00AF2206"/>
    <w:rsid w:val="00AF2723"/>
    <w:rsid w:val="00AF2CA0"/>
    <w:rsid w:val="00AF42DE"/>
    <w:rsid w:val="00AF4D1A"/>
    <w:rsid w:val="00AF7329"/>
    <w:rsid w:val="00AF7F83"/>
    <w:rsid w:val="00B0181E"/>
    <w:rsid w:val="00B01A7A"/>
    <w:rsid w:val="00B06EB9"/>
    <w:rsid w:val="00B079F8"/>
    <w:rsid w:val="00B1189B"/>
    <w:rsid w:val="00B11A6E"/>
    <w:rsid w:val="00B1338E"/>
    <w:rsid w:val="00B247DF"/>
    <w:rsid w:val="00B25064"/>
    <w:rsid w:val="00B259F8"/>
    <w:rsid w:val="00B426CB"/>
    <w:rsid w:val="00B47968"/>
    <w:rsid w:val="00B502C2"/>
    <w:rsid w:val="00B5288E"/>
    <w:rsid w:val="00B57DBB"/>
    <w:rsid w:val="00B61AC5"/>
    <w:rsid w:val="00B72DC1"/>
    <w:rsid w:val="00B76C67"/>
    <w:rsid w:val="00B7747A"/>
    <w:rsid w:val="00B812C1"/>
    <w:rsid w:val="00B84E0B"/>
    <w:rsid w:val="00B85624"/>
    <w:rsid w:val="00B90423"/>
    <w:rsid w:val="00B90B3E"/>
    <w:rsid w:val="00BA3CD4"/>
    <w:rsid w:val="00BA4909"/>
    <w:rsid w:val="00BB5E47"/>
    <w:rsid w:val="00BB6041"/>
    <w:rsid w:val="00BB7FD0"/>
    <w:rsid w:val="00BC063C"/>
    <w:rsid w:val="00BC4E31"/>
    <w:rsid w:val="00BD26E0"/>
    <w:rsid w:val="00BD4C53"/>
    <w:rsid w:val="00BF0AE4"/>
    <w:rsid w:val="00BF1186"/>
    <w:rsid w:val="00BF29BC"/>
    <w:rsid w:val="00BF30C9"/>
    <w:rsid w:val="00BF3C38"/>
    <w:rsid w:val="00BF44C5"/>
    <w:rsid w:val="00BF4C4B"/>
    <w:rsid w:val="00BF534C"/>
    <w:rsid w:val="00BF5367"/>
    <w:rsid w:val="00BF580D"/>
    <w:rsid w:val="00C00A97"/>
    <w:rsid w:val="00C05876"/>
    <w:rsid w:val="00C05882"/>
    <w:rsid w:val="00C0717A"/>
    <w:rsid w:val="00C1062B"/>
    <w:rsid w:val="00C15403"/>
    <w:rsid w:val="00C15A14"/>
    <w:rsid w:val="00C258A4"/>
    <w:rsid w:val="00C26E2C"/>
    <w:rsid w:val="00C326C5"/>
    <w:rsid w:val="00C4428B"/>
    <w:rsid w:val="00C46A76"/>
    <w:rsid w:val="00C47589"/>
    <w:rsid w:val="00C57F2F"/>
    <w:rsid w:val="00C725B0"/>
    <w:rsid w:val="00C73EF5"/>
    <w:rsid w:val="00C762E0"/>
    <w:rsid w:val="00C80371"/>
    <w:rsid w:val="00C86B32"/>
    <w:rsid w:val="00C95055"/>
    <w:rsid w:val="00C97936"/>
    <w:rsid w:val="00CA0FA9"/>
    <w:rsid w:val="00CB4634"/>
    <w:rsid w:val="00CC115A"/>
    <w:rsid w:val="00CC2DDF"/>
    <w:rsid w:val="00CE222C"/>
    <w:rsid w:val="00CE4BB8"/>
    <w:rsid w:val="00CF16C6"/>
    <w:rsid w:val="00CF78A6"/>
    <w:rsid w:val="00D07357"/>
    <w:rsid w:val="00D07765"/>
    <w:rsid w:val="00D1191A"/>
    <w:rsid w:val="00D13EFC"/>
    <w:rsid w:val="00D20A17"/>
    <w:rsid w:val="00D24DE2"/>
    <w:rsid w:val="00D24E0E"/>
    <w:rsid w:val="00D256E7"/>
    <w:rsid w:val="00D257ED"/>
    <w:rsid w:val="00D25CA9"/>
    <w:rsid w:val="00D263E6"/>
    <w:rsid w:val="00D2794B"/>
    <w:rsid w:val="00D33DC6"/>
    <w:rsid w:val="00D348C9"/>
    <w:rsid w:val="00D35E0D"/>
    <w:rsid w:val="00D418C9"/>
    <w:rsid w:val="00D44893"/>
    <w:rsid w:val="00D46E52"/>
    <w:rsid w:val="00D47171"/>
    <w:rsid w:val="00D5796C"/>
    <w:rsid w:val="00D61C62"/>
    <w:rsid w:val="00D663B0"/>
    <w:rsid w:val="00D7292D"/>
    <w:rsid w:val="00D74222"/>
    <w:rsid w:val="00D759C4"/>
    <w:rsid w:val="00D8096D"/>
    <w:rsid w:val="00D810C9"/>
    <w:rsid w:val="00D8409C"/>
    <w:rsid w:val="00D84C86"/>
    <w:rsid w:val="00D8778C"/>
    <w:rsid w:val="00D918AA"/>
    <w:rsid w:val="00DA5A84"/>
    <w:rsid w:val="00DB5D48"/>
    <w:rsid w:val="00DC45DB"/>
    <w:rsid w:val="00DC558C"/>
    <w:rsid w:val="00DC68B5"/>
    <w:rsid w:val="00DD1920"/>
    <w:rsid w:val="00DE208B"/>
    <w:rsid w:val="00DE2BFF"/>
    <w:rsid w:val="00DF24E5"/>
    <w:rsid w:val="00DF4599"/>
    <w:rsid w:val="00E050CB"/>
    <w:rsid w:val="00E062A2"/>
    <w:rsid w:val="00E14588"/>
    <w:rsid w:val="00E154D3"/>
    <w:rsid w:val="00E154EC"/>
    <w:rsid w:val="00E15D6A"/>
    <w:rsid w:val="00E17761"/>
    <w:rsid w:val="00E21C88"/>
    <w:rsid w:val="00E22DFF"/>
    <w:rsid w:val="00E36473"/>
    <w:rsid w:val="00E37E15"/>
    <w:rsid w:val="00E410F4"/>
    <w:rsid w:val="00E41963"/>
    <w:rsid w:val="00E41F7E"/>
    <w:rsid w:val="00E428BF"/>
    <w:rsid w:val="00E430D4"/>
    <w:rsid w:val="00E43ED6"/>
    <w:rsid w:val="00E46984"/>
    <w:rsid w:val="00E55BB4"/>
    <w:rsid w:val="00E55C07"/>
    <w:rsid w:val="00E61BB2"/>
    <w:rsid w:val="00E6211E"/>
    <w:rsid w:val="00E62960"/>
    <w:rsid w:val="00E62AF6"/>
    <w:rsid w:val="00E64051"/>
    <w:rsid w:val="00E7262C"/>
    <w:rsid w:val="00E7374F"/>
    <w:rsid w:val="00E739B2"/>
    <w:rsid w:val="00E765D7"/>
    <w:rsid w:val="00E84275"/>
    <w:rsid w:val="00E93360"/>
    <w:rsid w:val="00E97857"/>
    <w:rsid w:val="00EA21F0"/>
    <w:rsid w:val="00EA6DFF"/>
    <w:rsid w:val="00EA7023"/>
    <w:rsid w:val="00EB335E"/>
    <w:rsid w:val="00EB4738"/>
    <w:rsid w:val="00EB60E8"/>
    <w:rsid w:val="00EC0847"/>
    <w:rsid w:val="00EC4D08"/>
    <w:rsid w:val="00EC599D"/>
    <w:rsid w:val="00EE53A9"/>
    <w:rsid w:val="00EF0A1F"/>
    <w:rsid w:val="00EF0A34"/>
    <w:rsid w:val="00F0017A"/>
    <w:rsid w:val="00F0594B"/>
    <w:rsid w:val="00F15D46"/>
    <w:rsid w:val="00F1661F"/>
    <w:rsid w:val="00F16A2B"/>
    <w:rsid w:val="00F16D1F"/>
    <w:rsid w:val="00F2379B"/>
    <w:rsid w:val="00F26F32"/>
    <w:rsid w:val="00F349BA"/>
    <w:rsid w:val="00F37CD7"/>
    <w:rsid w:val="00F46B33"/>
    <w:rsid w:val="00F5232E"/>
    <w:rsid w:val="00F54543"/>
    <w:rsid w:val="00F63485"/>
    <w:rsid w:val="00F66E60"/>
    <w:rsid w:val="00F6702D"/>
    <w:rsid w:val="00F70A1C"/>
    <w:rsid w:val="00F75A51"/>
    <w:rsid w:val="00F859A3"/>
    <w:rsid w:val="00F864B8"/>
    <w:rsid w:val="00F922F9"/>
    <w:rsid w:val="00F951CB"/>
    <w:rsid w:val="00F97992"/>
    <w:rsid w:val="00FA0C1C"/>
    <w:rsid w:val="00FA0D9E"/>
    <w:rsid w:val="00FA46B7"/>
    <w:rsid w:val="00FA5DB6"/>
    <w:rsid w:val="00FA5E14"/>
    <w:rsid w:val="00FB1523"/>
    <w:rsid w:val="00FB1793"/>
    <w:rsid w:val="00FC3735"/>
    <w:rsid w:val="00FC5174"/>
    <w:rsid w:val="00FC7F2A"/>
    <w:rsid w:val="00FD01CF"/>
    <w:rsid w:val="00FD4EFE"/>
    <w:rsid w:val="00FE4BD8"/>
    <w:rsid w:val="00FE5E20"/>
    <w:rsid w:val="00FF4F25"/>
  </w:rsids>
  <m:mathPr>
    <m:mathFont m:val="Arial Black"/>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779"/>
    <w:rPr>
      <w:rFonts w:ascii="Verdana" w:hAnsi="Verdana"/>
      <w:color w:val="000000"/>
      <w:sz w:val="24"/>
      <w:szCs w:val="24"/>
    </w:rPr>
  </w:style>
  <w:style w:type="paragraph" w:styleId="Heading1">
    <w:name w:val="heading 1"/>
    <w:basedOn w:val="Normal"/>
    <w:next w:val="Normal"/>
    <w:link w:val="Heading1Char"/>
    <w:qFormat/>
    <w:locked/>
    <w:rsid w:val="00285E62"/>
    <w:pPr>
      <w:keepNext/>
      <w:numPr>
        <w:numId w:val="16"/>
      </w:numPr>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771F0A"/>
    <w:pPr>
      <w:numPr>
        <w:ilvl w:val="1"/>
        <w:numId w:val="16"/>
      </w:numPr>
      <w:spacing w:before="375" w:after="100" w:afterAutospacing="1"/>
      <w:outlineLvl w:val="1"/>
    </w:pPr>
    <w:rPr>
      <w:rFonts w:ascii="Times New Roman" w:hAnsi="Times New Roman"/>
      <w:b/>
      <w:bCs/>
      <w:color w:val="auto"/>
      <w:sz w:val="30"/>
      <w:szCs w:val="30"/>
    </w:rPr>
  </w:style>
  <w:style w:type="paragraph" w:styleId="Heading3">
    <w:name w:val="heading 3"/>
    <w:basedOn w:val="Normal"/>
    <w:next w:val="Normal"/>
    <w:link w:val="Heading3Char"/>
    <w:unhideWhenUsed/>
    <w:qFormat/>
    <w:locked/>
    <w:rsid w:val="00285E62"/>
    <w:pPr>
      <w:keepNext/>
      <w:numPr>
        <w:ilvl w:val="2"/>
        <w:numId w:val="16"/>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locked/>
    <w:rsid w:val="00285E62"/>
    <w:pPr>
      <w:keepNext/>
      <w:numPr>
        <w:ilvl w:val="3"/>
        <w:numId w:val="16"/>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locked/>
    <w:rsid w:val="00285E62"/>
    <w:pPr>
      <w:numPr>
        <w:ilvl w:val="4"/>
        <w:numId w:val="16"/>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locked/>
    <w:rsid w:val="00285E62"/>
    <w:pPr>
      <w:numPr>
        <w:ilvl w:val="5"/>
        <w:numId w:val="16"/>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locked/>
    <w:rsid w:val="00285E62"/>
    <w:pPr>
      <w:numPr>
        <w:ilvl w:val="6"/>
        <w:numId w:val="16"/>
      </w:numPr>
      <w:spacing w:before="240" w:after="60"/>
      <w:outlineLvl w:val="6"/>
    </w:pPr>
    <w:rPr>
      <w:rFonts w:ascii="Calibri" w:eastAsia="Times New Roman" w:hAnsi="Calibri"/>
    </w:rPr>
  </w:style>
  <w:style w:type="paragraph" w:styleId="Heading8">
    <w:name w:val="heading 8"/>
    <w:basedOn w:val="Normal"/>
    <w:next w:val="Normal"/>
    <w:link w:val="Heading8Char"/>
    <w:semiHidden/>
    <w:unhideWhenUsed/>
    <w:qFormat/>
    <w:locked/>
    <w:rsid w:val="00285E62"/>
    <w:pPr>
      <w:numPr>
        <w:ilvl w:val="7"/>
        <w:numId w:val="16"/>
      </w:numPr>
      <w:spacing w:before="240" w:after="60"/>
      <w:outlineLvl w:val="7"/>
    </w:pPr>
    <w:rPr>
      <w:rFonts w:ascii="Calibri" w:eastAsia="Times New Roman" w:hAnsi="Calibri"/>
      <w:i/>
      <w:iCs/>
    </w:rPr>
  </w:style>
  <w:style w:type="paragraph" w:styleId="Heading9">
    <w:name w:val="heading 9"/>
    <w:basedOn w:val="Normal"/>
    <w:next w:val="Normal"/>
    <w:link w:val="Heading9Char"/>
    <w:semiHidden/>
    <w:unhideWhenUsed/>
    <w:qFormat/>
    <w:locked/>
    <w:rsid w:val="00285E62"/>
    <w:pPr>
      <w:numPr>
        <w:ilvl w:val="8"/>
        <w:numId w:val="16"/>
      </w:numPr>
      <w:spacing w:before="240" w:after="60"/>
      <w:outlineLvl w:val="8"/>
    </w:pPr>
    <w:rPr>
      <w:rFonts w:ascii="Cambria" w:eastAsia="Times New Roman" w:hAnsi="Cambria"/>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2225D1"/>
    <w:pPr>
      <w:ind w:left="720"/>
      <w:contextualSpacing/>
    </w:pPr>
  </w:style>
  <w:style w:type="paragraph" w:styleId="EndnoteText">
    <w:name w:val="endnote text"/>
    <w:basedOn w:val="Normal"/>
    <w:link w:val="EndnoteTextChar"/>
    <w:rsid w:val="004E62D7"/>
    <w:rPr>
      <w:sz w:val="20"/>
      <w:szCs w:val="20"/>
    </w:rPr>
  </w:style>
  <w:style w:type="character" w:customStyle="1" w:styleId="EndnoteTextChar">
    <w:name w:val="Endnote Text Char"/>
    <w:basedOn w:val="DefaultParagraphFont"/>
    <w:link w:val="EndnoteText"/>
    <w:locked/>
    <w:rsid w:val="004E62D7"/>
    <w:rPr>
      <w:rFonts w:ascii="Verdana" w:hAnsi="Verdana" w:cs="Times New Roman"/>
      <w:color w:val="000000"/>
      <w:sz w:val="20"/>
      <w:szCs w:val="20"/>
      <w:lang w:eastAsia="en-GB"/>
    </w:rPr>
  </w:style>
  <w:style w:type="character" w:styleId="EndnoteReference">
    <w:name w:val="endnote reference"/>
    <w:basedOn w:val="DefaultParagraphFont"/>
    <w:rsid w:val="004E62D7"/>
    <w:rPr>
      <w:rFonts w:cs="Times New Roman"/>
      <w:vertAlign w:val="superscript"/>
    </w:rPr>
  </w:style>
  <w:style w:type="paragraph" w:styleId="Caption">
    <w:name w:val="caption"/>
    <w:basedOn w:val="Normal"/>
    <w:next w:val="Normal"/>
    <w:qFormat/>
    <w:rsid w:val="008340A9"/>
    <w:pPr>
      <w:spacing w:after="200"/>
    </w:pPr>
    <w:rPr>
      <w:b/>
      <w:bCs/>
      <w:color w:val="4F81BD"/>
      <w:sz w:val="18"/>
      <w:szCs w:val="18"/>
    </w:rPr>
  </w:style>
  <w:style w:type="table" w:styleId="TableGrid">
    <w:name w:val="Table Grid"/>
    <w:basedOn w:val="TableNormal"/>
    <w:rsid w:val="002A22E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91A4B"/>
    <w:rPr>
      <w:rFonts w:cs="Times New Roman"/>
      <w:color w:val="0000FF"/>
      <w:u w:val="single"/>
    </w:rPr>
  </w:style>
  <w:style w:type="paragraph" w:styleId="Header">
    <w:name w:val="header"/>
    <w:basedOn w:val="Normal"/>
    <w:link w:val="HeaderChar"/>
    <w:rsid w:val="00881EC5"/>
    <w:pPr>
      <w:tabs>
        <w:tab w:val="center" w:pos="4513"/>
        <w:tab w:val="right" w:pos="9026"/>
      </w:tabs>
    </w:pPr>
  </w:style>
  <w:style w:type="character" w:customStyle="1" w:styleId="HeaderChar">
    <w:name w:val="Header Char"/>
    <w:basedOn w:val="DefaultParagraphFont"/>
    <w:link w:val="Header"/>
    <w:locked/>
    <w:rsid w:val="00881EC5"/>
    <w:rPr>
      <w:rFonts w:ascii="Verdana" w:hAnsi="Verdana" w:cs="Times New Roman"/>
      <w:color w:val="000000"/>
      <w:sz w:val="24"/>
      <w:szCs w:val="24"/>
      <w:lang w:eastAsia="en-GB"/>
    </w:rPr>
  </w:style>
  <w:style w:type="paragraph" w:styleId="Footer">
    <w:name w:val="footer"/>
    <w:basedOn w:val="Normal"/>
    <w:link w:val="FooterChar"/>
    <w:uiPriority w:val="99"/>
    <w:rsid w:val="00881EC5"/>
    <w:pPr>
      <w:tabs>
        <w:tab w:val="center" w:pos="4513"/>
        <w:tab w:val="right" w:pos="9026"/>
      </w:tabs>
    </w:pPr>
  </w:style>
  <w:style w:type="character" w:customStyle="1" w:styleId="FooterChar">
    <w:name w:val="Footer Char"/>
    <w:basedOn w:val="DefaultParagraphFont"/>
    <w:link w:val="Footer"/>
    <w:uiPriority w:val="99"/>
    <w:locked/>
    <w:rsid w:val="00881EC5"/>
    <w:rPr>
      <w:rFonts w:ascii="Verdana" w:hAnsi="Verdana" w:cs="Times New Roman"/>
      <w:color w:val="000000"/>
      <w:sz w:val="24"/>
      <w:szCs w:val="24"/>
      <w:lang w:eastAsia="en-GB"/>
    </w:rPr>
  </w:style>
  <w:style w:type="table" w:customStyle="1" w:styleId="TableGrid1">
    <w:name w:val="Table Grid1"/>
    <w:rsid w:val="004B055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locked/>
    <w:rsid w:val="00771F0A"/>
    <w:rPr>
      <w:rFonts w:ascii="Times New Roman" w:hAnsi="Times New Roman"/>
      <w:b/>
      <w:bCs/>
      <w:sz w:val="30"/>
      <w:szCs w:val="30"/>
    </w:rPr>
  </w:style>
  <w:style w:type="paragraph" w:styleId="BalloonText">
    <w:name w:val="Balloon Text"/>
    <w:basedOn w:val="Normal"/>
    <w:semiHidden/>
    <w:rsid w:val="00FA0D9E"/>
    <w:rPr>
      <w:rFonts w:ascii="Tahoma" w:hAnsi="Tahoma" w:cs="Tahoma"/>
      <w:sz w:val="16"/>
      <w:szCs w:val="16"/>
    </w:rPr>
  </w:style>
  <w:style w:type="character" w:styleId="CommentReference">
    <w:name w:val="annotation reference"/>
    <w:basedOn w:val="DefaultParagraphFont"/>
    <w:semiHidden/>
    <w:rsid w:val="00FA0D9E"/>
    <w:rPr>
      <w:sz w:val="16"/>
      <w:szCs w:val="16"/>
    </w:rPr>
  </w:style>
  <w:style w:type="paragraph" w:styleId="CommentText">
    <w:name w:val="annotation text"/>
    <w:basedOn w:val="Normal"/>
    <w:semiHidden/>
    <w:rsid w:val="00FA0D9E"/>
    <w:rPr>
      <w:sz w:val="20"/>
      <w:szCs w:val="20"/>
    </w:rPr>
  </w:style>
  <w:style w:type="paragraph" w:styleId="CommentSubject">
    <w:name w:val="annotation subject"/>
    <w:basedOn w:val="CommentText"/>
    <w:next w:val="CommentText"/>
    <w:semiHidden/>
    <w:rsid w:val="00FA0D9E"/>
    <w:rPr>
      <w:b/>
      <w:bCs/>
    </w:rPr>
  </w:style>
  <w:style w:type="character" w:customStyle="1" w:styleId="Heading1Char">
    <w:name w:val="Heading 1 Char"/>
    <w:basedOn w:val="DefaultParagraphFont"/>
    <w:link w:val="Heading1"/>
    <w:rsid w:val="00285E62"/>
    <w:rPr>
      <w:rFonts w:ascii="Cambria" w:eastAsia="Times New Roman" w:hAnsi="Cambria"/>
      <w:b/>
      <w:bCs/>
      <w:color w:val="000000"/>
      <w:kern w:val="32"/>
      <w:sz w:val="32"/>
      <w:szCs w:val="32"/>
    </w:rPr>
  </w:style>
  <w:style w:type="character" w:customStyle="1" w:styleId="Heading3Char">
    <w:name w:val="Heading 3 Char"/>
    <w:basedOn w:val="DefaultParagraphFont"/>
    <w:link w:val="Heading3"/>
    <w:rsid w:val="00285E62"/>
    <w:rPr>
      <w:rFonts w:ascii="Cambria" w:eastAsia="Times New Roman" w:hAnsi="Cambria"/>
      <w:b/>
      <w:bCs/>
      <w:color w:val="000000"/>
      <w:sz w:val="26"/>
      <w:szCs w:val="26"/>
    </w:rPr>
  </w:style>
  <w:style w:type="character" w:customStyle="1" w:styleId="Heading4Char">
    <w:name w:val="Heading 4 Char"/>
    <w:basedOn w:val="DefaultParagraphFont"/>
    <w:link w:val="Heading4"/>
    <w:semiHidden/>
    <w:rsid w:val="00285E62"/>
    <w:rPr>
      <w:rFonts w:eastAsia="Times New Roman"/>
      <w:b/>
      <w:bCs/>
      <w:color w:val="000000"/>
      <w:sz w:val="28"/>
      <w:szCs w:val="28"/>
    </w:rPr>
  </w:style>
  <w:style w:type="character" w:customStyle="1" w:styleId="Heading5Char">
    <w:name w:val="Heading 5 Char"/>
    <w:basedOn w:val="DefaultParagraphFont"/>
    <w:link w:val="Heading5"/>
    <w:semiHidden/>
    <w:rsid w:val="00285E62"/>
    <w:rPr>
      <w:rFonts w:eastAsia="Times New Roman"/>
      <w:b/>
      <w:bCs/>
      <w:i/>
      <w:iCs/>
      <w:color w:val="000000"/>
      <w:sz w:val="26"/>
      <w:szCs w:val="26"/>
    </w:rPr>
  </w:style>
  <w:style w:type="character" w:customStyle="1" w:styleId="Heading6Char">
    <w:name w:val="Heading 6 Char"/>
    <w:basedOn w:val="DefaultParagraphFont"/>
    <w:link w:val="Heading6"/>
    <w:semiHidden/>
    <w:rsid w:val="00285E62"/>
    <w:rPr>
      <w:rFonts w:eastAsia="Times New Roman"/>
      <w:b/>
      <w:bCs/>
      <w:color w:val="000000"/>
      <w:sz w:val="22"/>
      <w:szCs w:val="22"/>
    </w:rPr>
  </w:style>
  <w:style w:type="character" w:customStyle="1" w:styleId="Heading7Char">
    <w:name w:val="Heading 7 Char"/>
    <w:basedOn w:val="DefaultParagraphFont"/>
    <w:link w:val="Heading7"/>
    <w:semiHidden/>
    <w:rsid w:val="00285E62"/>
    <w:rPr>
      <w:rFonts w:eastAsia="Times New Roman"/>
      <w:color w:val="000000"/>
      <w:sz w:val="24"/>
      <w:szCs w:val="24"/>
    </w:rPr>
  </w:style>
  <w:style w:type="character" w:customStyle="1" w:styleId="Heading8Char">
    <w:name w:val="Heading 8 Char"/>
    <w:basedOn w:val="DefaultParagraphFont"/>
    <w:link w:val="Heading8"/>
    <w:semiHidden/>
    <w:rsid w:val="00285E62"/>
    <w:rPr>
      <w:rFonts w:eastAsia="Times New Roman"/>
      <w:i/>
      <w:iCs/>
      <w:color w:val="000000"/>
      <w:sz w:val="24"/>
      <w:szCs w:val="24"/>
    </w:rPr>
  </w:style>
  <w:style w:type="character" w:customStyle="1" w:styleId="Heading9Char">
    <w:name w:val="Heading 9 Char"/>
    <w:basedOn w:val="DefaultParagraphFont"/>
    <w:link w:val="Heading9"/>
    <w:semiHidden/>
    <w:rsid w:val="00285E62"/>
    <w:rPr>
      <w:rFonts w:ascii="Cambria" w:eastAsia="Times New Roman" w:hAnsi="Cambria"/>
      <w:color w:val="000000"/>
      <w:sz w:val="22"/>
      <w:szCs w:val="22"/>
    </w:rPr>
  </w:style>
  <w:style w:type="paragraph" w:styleId="TOCHeading">
    <w:name w:val="TOC Heading"/>
    <w:basedOn w:val="Heading1"/>
    <w:next w:val="Normal"/>
    <w:uiPriority w:val="39"/>
    <w:semiHidden/>
    <w:unhideWhenUsed/>
    <w:qFormat/>
    <w:rsid w:val="007D20B7"/>
    <w:pPr>
      <w:keepLines/>
      <w:numPr>
        <w:numId w:val="0"/>
      </w:numPr>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locked/>
    <w:rsid w:val="007D20B7"/>
  </w:style>
  <w:style w:type="paragraph" w:styleId="TOC2">
    <w:name w:val="toc 2"/>
    <w:basedOn w:val="Normal"/>
    <w:next w:val="Normal"/>
    <w:autoRedefine/>
    <w:uiPriority w:val="39"/>
    <w:locked/>
    <w:rsid w:val="007D20B7"/>
    <w:pPr>
      <w:ind w:left="240"/>
    </w:pPr>
  </w:style>
  <w:style w:type="paragraph" w:styleId="TOC3">
    <w:name w:val="toc 3"/>
    <w:basedOn w:val="Normal"/>
    <w:next w:val="Normal"/>
    <w:autoRedefine/>
    <w:uiPriority w:val="39"/>
    <w:locked/>
    <w:rsid w:val="007D20B7"/>
    <w:pPr>
      <w:ind w:left="480"/>
    </w:pPr>
  </w:style>
  <w:style w:type="character" w:styleId="FollowedHyperlink">
    <w:name w:val="FollowedHyperlink"/>
    <w:basedOn w:val="DefaultParagraphFont"/>
    <w:rsid w:val="00D33DC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0"/>
          <w:divBdr>
            <w:top w:val="none" w:sz="0" w:space="0" w:color="auto"/>
            <w:left w:val="none" w:sz="0" w:space="0" w:color="auto"/>
            <w:bottom w:val="none" w:sz="0" w:space="0" w:color="auto"/>
            <w:right w:val="none" w:sz="0" w:space="0" w:color="auto"/>
          </w:divBdr>
        </w:div>
        <w:div w:id="6">
          <w:marLeft w:val="547"/>
          <w:marRight w:val="0"/>
          <w:marTop w:val="0"/>
          <w:marBottom w:val="0"/>
          <w:divBdr>
            <w:top w:val="none" w:sz="0" w:space="0" w:color="auto"/>
            <w:left w:val="none" w:sz="0" w:space="0" w:color="auto"/>
            <w:bottom w:val="none" w:sz="0" w:space="0" w:color="auto"/>
            <w:right w:val="none" w:sz="0" w:space="0" w:color="auto"/>
          </w:divBdr>
        </w:div>
        <w:div w:id="10">
          <w:marLeft w:val="547"/>
          <w:marRight w:val="0"/>
          <w:marTop w:val="0"/>
          <w:marBottom w:val="0"/>
          <w:divBdr>
            <w:top w:val="none" w:sz="0" w:space="0" w:color="auto"/>
            <w:left w:val="none" w:sz="0" w:space="0" w:color="auto"/>
            <w:bottom w:val="none" w:sz="0" w:space="0" w:color="auto"/>
            <w:right w:val="none" w:sz="0" w:space="0" w:color="auto"/>
          </w:divBdr>
        </w:div>
        <w:div w:id="13">
          <w:marLeft w:val="547"/>
          <w:marRight w:val="0"/>
          <w:marTop w:val="0"/>
          <w:marBottom w:val="0"/>
          <w:divBdr>
            <w:top w:val="none" w:sz="0" w:space="0" w:color="auto"/>
            <w:left w:val="none" w:sz="0" w:space="0" w:color="auto"/>
            <w:bottom w:val="none" w:sz="0" w:space="0" w:color="auto"/>
            <w:right w:val="none" w:sz="0" w:space="0" w:color="auto"/>
          </w:divBdr>
        </w:div>
        <w:div w:id="14">
          <w:marLeft w:val="547"/>
          <w:marRight w:val="0"/>
          <w:marTop w:val="0"/>
          <w:marBottom w:val="0"/>
          <w:divBdr>
            <w:top w:val="none" w:sz="0" w:space="0" w:color="auto"/>
            <w:left w:val="none" w:sz="0" w:space="0" w:color="auto"/>
            <w:bottom w:val="none" w:sz="0" w:space="0" w:color="auto"/>
            <w:right w:val="none" w:sz="0" w:space="0" w:color="auto"/>
          </w:divBdr>
        </w:div>
        <w:div w:id="19">
          <w:marLeft w:val="547"/>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0"/>
          <w:marBottom w:val="0"/>
          <w:divBdr>
            <w:top w:val="none" w:sz="0" w:space="0" w:color="auto"/>
            <w:left w:val="none" w:sz="0" w:space="0" w:color="auto"/>
            <w:bottom w:val="none" w:sz="0" w:space="0" w:color="auto"/>
            <w:right w:val="none" w:sz="0" w:space="0" w:color="auto"/>
          </w:divBdr>
        </w:div>
        <w:div w:id="2">
          <w:marLeft w:val="547"/>
          <w:marRight w:val="0"/>
          <w:marTop w:val="0"/>
          <w:marBottom w:val="0"/>
          <w:divBdr>
            <w:top w:val="none" w:sz="0" w:space="0" w:color="auto"/>
            <w:left w:val="none" w:sz="0" w:space="0" w:color="auto"/>
            <w:bottom w:val="none" w:sz="0" w:space="0" w:color="auto"/>
            <w:right w:val="none" w:sz="0" w:space="0" w:color="auto"/>
          </w:divBdr>
        </w:div>
        <w:div w:id="7">
          <w:marLeft w:val="547"/>
          <w:marRight w:val="0"/>
          <w:marTop w:val="0"/>
          <w:marBottom w:val="0"/>
          <w:divBdr>
            <w:top w:val="none" w:sz="0" w:space="0" w:color="auto"/>
            <w:left w:val="none" w:sz="0" w:space="0" w:color="auto"/>
            <w:bottom w:val="none" w:sz="0" w:space="0" w:color="auto"/>
            <w:right w:val="none" w:sz="0" w:space="0" w:color="auto"/>
          </w:divBdr>
        </w:div>
        <w:div w:id="8">
          <w:marLeft w:val="547"/>
          <w:marRight w:val="0"/>
          <w:marTop w:val="0"/>
          <w:marBottom w:val="0"/>
          <w:divBdr>
            <w:top w:val="none" w:sz="0" w:space="0" w:color="auto"/>
            <w:left w:val="none" w:sz="0" w:space="0" w:color="auto"/>
            <w:bottom w:val="none" w:sz="0" w:space="0" w:color="auto"/>
            <w:right w:val="none" w:sz="0" w:space="0" w:color="auto"/>
          </w:divBdr>
        </w:div>
        <w:div w:id="17">
          <w:marLeft w:val="547"/>
          <w:marRight w:val="0"/>
          <w:marTop w:val="0"/>
          <w:marBottom w:val="0"/>
          <w:divBdr>
            <w:top w:val="none" w:sz="0" w:space="0" w:color="auto"/>
            <w:left w:val="none" w:sz="0" w:space="0" w:color="auto"/>
            <w:bottom w:val="none" w:sz="0" w:space="0" w:color="auto"/>
            <w:right w:val="none" w:sz="0" w:space="0" w:color="auto"/>
          </w:divBdr>
        </w:div>
        <w:div w:id="21">
          <w:marLeft w:val="547"/>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624119400">
      <w:bodyDiv w:val="1"/>
      <w:marLeft w:val="0"/>
      <w:marRight w:val="0"/>
      <w:marTop w:val="0"/>
      <w:marBottom w:val="0"/>
      <w:divBdr>
        <w:top w:val="none" w:sz="0" w:space="0" w:color="auto"/>
        <w:left w:val="none" w:sz="0" w:space="0" w:color="auto"/>
        <w:bottom w:val="none" w:sz="0" w:space="0" w:color="auto"/>
        <w:right w:val="none" w:sz="0" w:space="0" w:color="auto"/>
      </w:divBdr>
    </w:div>
    <w:div w:id="858929190">
      <w:bodyDiv w:val="1"/>
      <w:marLeft w:val="0"/>
      <w:marRight w:val="0"/>
      <w:marTop w:val="0"/>
      <w:marBottom w:val="0"/>
      <w:divBdr>
        <w:top w:val="none" w:sz="0" w:space="0" w:color="auto"/>
        <w:left w:val="none" w:sz="0" w:space="0" w:color="auto"/>
        <w:bottom w:val="none" w:sz="0" w:space="0" w:color="auto"/>
        <w:right w:val="none" w:sz="0" w:space="0" w:color="auto"/>
      </w:divBdr>
    </w:div>
    <w:div w:id="1149782445">
      <w:bodyDiv w:val="1"/>
      <w:marLeft w:val="0"/>
      <w:marRight w:val="0"/>
      <w:marTop w:val="0"/>
      <w:marBottom w:val="0"/>
      <w:divBdr>
        <w:top w:val="none" w:sz="0" w:space="0" w:color="auto"/>
        <w:left w:val="none" w:sz="0" w:space="0" w:color="auto"/>
        <w:bottom w:val="none" w:sz="0" w:space="0" w:color="auto"/>
        <w:right w:val="none" w:sz="0" w:space="0" w:color="auto"/>
      </w:divBdr>
    </w:div>
    <w:div w:id="1153255151">
      <w:bodyDiv w:val="1"/>
      <w:marLeft w:val="0"/>
      <w:marRight w:val="0"/>
      <w:marTop w:val="0"/>
      <w:marBottom w:val="0"/>
      <w:divBdr>
        <w:top w:val="none" w:sz="0" w:space="0" w:color="auto"/>
        <w:left w:val="none" w:sz="0" w:space="0" w:color="auto"/>
        <w:bottom w:val="none" w:sz="0" w:space="0" w:color="auto"/>
        <w:right w:val="none" w:sz="0" w:space="0" w:color="auto"/>
      </w:divBdr>
    </w:div>
    <w:div w:id="1523586844">
      <w:bodyDiv w:val="1"/>
      <w:marLeft w:val="0"/>
      <w:marRight w:val="0"/>
      <w:marTop w:val="0"/>
      <w:marBottom w:val="0"/>
      <w:divBdr>
        <w:top w:val="none" w:sz="0" w:space="0" w:color="auto"/>
        <w:left w:val="none" w:sz="0" w:space="0" w:color="auto"/>
        <w:bottom w:val="none" w:sz="0" w:space="0" w:color="auto"/>
        <w:right w:val="none" w:sz="0" w:space="0" w:color="auto"/>
      </w:divBdr>
    </w:div>
    <w:div w:id="1672370905">
      <w:bodyDiv w:val="1"/>
      <w:marLeft w:val="0"/>
      <w:marRight w:val="0"/>
      <w:marTop w:val="0"/>
      <w:marBottom w:val="0"/>
      <w:divBdr>
        <w:top w:val="none" w:sz="0" w:space="0" w:color="auto"/>
        <w:left w:val="none" w:sz="0" w:space="0" w:color="auto"/>
        <w:bottom w:val="none" w:sz="0" w:space="0" w:color="auto"/>
        <w:right w:val="none" w:sz="0" w:space="0" w:color="auto"/>
      </w:divBdr>
    </w:div>
    <w:div w:id="1895576652">
      <w:bodyDiv w:val="1"/>
      <w:marLeft w:val="0"/>
      <w:marRight w:val="0"/>
      <w:marTop w:val="0"/>
      <w:marBottom w:val="0"/>
      <w:divBdr>
        <w:top w:val="none" w:sz="0" w:space="0" w:color="auto"/>
        <w:left w:val="none" w:sz="0" w:space="0" w:color="auto"/>
        <w:bottom w:val="none" w:sz="0" w:space="0" w:color="auto"/>
        <w:right w:val="none" w:sz="0" w:space="0" w:color="auto"/>
      </w:divBdr>
      <w:divsChild>
        <w:div w:id="63479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microsoft.com/office/2007/relationships/stylesWithEffects" Target="stylesWithEffect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calderdale.gov.uk/business/licences/skinpiercing/index.html" TargetMode="External"/><Relationship Id="rId15" Type="http://schemas.openxmlformats.org/officeDocument/2006/relationships/hyperlink" Target="http://www.belfastcity.gov.uk/businessbyelaws/docs/tattooingguidelines.doc" TargetMode="External"/><Relationship Id="rId16" Type="http://schemas.openxmlformats.org/officeDocument/2006/relationships/hyperlink" Target="http://www.runcornandwidnesweeklynews.co.uk/runcorn-widnes-news/runcorn-widnes-local-news/2009/08/20/halton-borough-council-warns-against-unlicensed-tattooist-hiv-and-hepatitis-risk-55368-24490225/" TargetMode="External"/><Relationship Id="rId17" Type="http://schemas.openxmlformats.org/officeDocument/2006/relationships/hyperlink" Target="http://wales.gov.uk/topics/health/protection/communicabledisease/acupuncture/?lang=en"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5945-4341-914F-AF1D-A8FDF9F1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46</Pages>
  <Words>13087</Words>
  <Characters>74601</Characters>
  <Application>Microsoft Macintosh Word</Application>
  <DocSecurity>0</DocSecurity>
  <Lines>621</Lines>
  <Paragraphs>149</Paragraphs>
  <ScaleCrop>false</ScaleCrop>
  <HeadingPairs>
    <vt:vector size="2" baseType="variant">
      <vt:variant>
        <vt:lpstr>Title</vt:lpstr>
      </vt:variant>
      <vt:variant>
        <vt:i4>1</vt:i4>
      </vt:variant>
    </vt:vector>
  </HeadingPairs>
  <TitlesOfParts>
    <vt:vector size="1" baseType="lpstr">
      <vt:lpstr>Background</vt:lpstr>
    </vt:vector>
  </TitlesOfParts>
  <Company>Hewlett-Packard Company</Company>
  <LinksUpToDate>false</LinksUpToDate>
  <CharactersWithSpaces>91615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aiyedun</dc:creator>
  <cp:lastModifiedBy>CIEH</cp:lastModifiedBy>
  <cp:revision>10</cp:revision>
  <cp:lastPrinted>2013-07-01T09:59:00Z</cp:lastPrinted>
  <dcterms:created xsi:type="dcterms:W3CDTF">2013-06-29T22:06:00Z</dcterms:created>
  <dcterms:modified xsi:type="dcterms:W3CDTF">2013-07-01T09:59:00Z</dcterms:modified>
</cp:coreProperties>
</file>